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3ADF" w:rsidRDefault="00741A82">
      <w:pPr>
        <w:tabs>
          <w:tab w:val="left" w:pos="3882"/>
          <w:tab w:val="left" w:pos="7872"/>
        </w:tabs>
        <w:ind w:left="214"/>
        <w:rPr>
          <w:sz w:val="20"/>
          <w:rFonts w:ascii="Times New Roman"/>
        </w:rPr>
      </w:pPr>
      <w:r>
        <w:rPr>
          <w:sz w:val="20"/>
          <w:rFonts w:ascii="Times New Roman"/>
        </w:rPr>
        <w:drawing>
          <wp:inline distT="0" distB="0" distL="0" distR="0">
            <wp:extent cx="1212271" cy="690086"/>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1212271" cy="690086"/>
                    </a:xfrm>
                    <a:prstGeom prst="rect">
                      <a:avLst/>
                    </a:prstGeom>
                  </pic:spPr>
                </pic:pic>
              </a:graphicData>
            </a:graphic>
          </wp:inline>
        </w:drawing>
      </w:r>
      <w:r>
        <w:rPr>
          <w:sz w:val="20"/>
          <w:rFonts w:ascii="Times New Roman"/>
        </w:rPr>
        <w:t xml:space="preserve"> </w:t>
      </w:r>
      <w:r>
        <w:drawing>
          <wp:inline distT="0" distB="0" distL="0" distR="0">
            <wp:extent cx="665661" cy="68808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6" cstate="print"/>
                    <a:stretch>
                      <a:fillRect/>
                    </a:stretch>
                  </pic:blipFill>
                  <pic:spPr>
                    <a:xfrm>
                      <a:off x="0" y="0"/>
                      <a:ext cx="665661" cy="688085"/>
                    </a:xfrm>
                    <a:prstGeom prst="rect">
                      <a:avLst/>
                    </a:prstGeom>
                  </pic:spPr>
                </pic:pic>
              </a:graphicData>
            </a:graphic>
          </wp:inline>
        </w:drawing>
      </w:r>
      <w:r>
        <w:rPr>
          <w:sz w:val="20"/>
          <w:rFonts w:ascii="Times New Roman"/>
        </w:rPr>
        <w:tab/>
      </w:r>
      <w:r>
        <w:drawing>
          <wp:inline distT="0" distB="0" distL="0" distR="0">
            <wp:extent cx="1169667" cy="249174"/>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7" cstate="print"/>
                    <a:stretch>
                      <a:fillRect/>
                    </a:stretch>
                  </pic:blipFill>
                  <pic:spPr>
                    <a:xfrm>
                      <a:off x="0" y="0"/>
                      <a:ext cx="1169667" cy="249174"/>
                    </a:xfrm>
                    <a:prstGeom prst="rect">
                      <a:avLst/>
                    </a:prstGeom>
                  </pic:spPr>
                </pic:pic>
              </a:graphicData>
            </a:graphic>
          </wp:inline>
        </w:drawing>
      </w:r>
      <w:r>
        <w:rPr>
          <w:sz w:val="20"/>
          <w:rFonts w:ascii="Times New Roman"/>
        </w:rPr>
        <w:t xml:space="preserve"> </w:t>
      </w:r>
      <w:r>
        <w:drawing>
          <wp:inline distT="0" distB="0" distL="0" distR="0">
            <wp:extent cx="1111177" cy="280987"/>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8" cstate="print"/>
                    <a:stretch>
                      <a:fillRect/>
                    </a:stretch>
                  </pic:blipFill>
                  <pic:spPr>
                    <a:xfrm>
                      <a:off x="0" y="0"/>
                      <a:ext cx="1111177" cy="280987"/>
                    </a:xfrm>
                    <a:prstGeom prst="rect">
                      <a:avLst/>
                    </a:prstGeom>
                  </pic:spPr>
                </pic:pic>
              </a:graphicData>
            </a:graphic>
          </wp:inline>
        </w:drawing>
      </w:r>
      <w:r>
        <w:rPr>
          <w:sz w:val="20"/>
          <w:rFonts w:ascii="Times New Roman"/>
        </w:rPr>
        <w:tab/>
      </w:r>
      <w:r>
        <w:drawing>
          <wp:inline distT="0" distB="0" distL="0" distR="0">
            <wp:extent cx="688437" cy="662940"/>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9" cstate="print"/>
                    <a:stretch>
                      <a:fillRect/>
                    </a:stretch>
                  </pic:blipFill>
                  <pic:spPr>
                    <a:xfrm>
                      <a:off x="0" y="0"/>
                      <a:ext cx="688437" cy="662940"/>
                    </a:xfrm>
                    <a:prstGeom prst="rect">
                      <a:avLst/>
                    </a:prstGeom>
                  </pic:spPr>
                </pic:pic>
              </a:graphicData>
            </a:graphic>
          </wp:inline>
        </w:drawing>
      </w:r>
    </w:p>
    <w:p w:rsidR="00583ADF" w:rsidRDefault="00741A82">
      <w:pPr>
        <w:pStyle w:val="Corpsdetexte"/>
        <w:spacing w:before="9"/>
        <w:rPr>
          <w:sz w:val="19"/>
          <w:rFonts w:ascii="Times New Roman"/>
        </w:rPr>
      </w:pPr>
      <w:r>
        <w:drawing>
          <wp:anchor distT="0" distB="0" distL="0" distR="0" simplePos="0" relativeHeight="251658240" behindDoc="0" locked="0" layoutInCell="1" allowOverlap="1">
            <wp:simplePos x="0" y="0"/>
            <wp:positionH relativeFrom="page">
              <wp:posOffset>2925973</wp:posOffset>
            </wp:positionH>
            <wp:positionV relativeFrom="paragraph">
              <wp:posOffset>169680</wp:posOffset>
            </wp:positionV>
            <wp:extent cx="1604784" cy="768953"/>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0" cstate="print"/>
                    <a:stretch>
                      <a:fillRect/>
                    </a:stretch>
                  </pic:blipFill>
                  <pic:spPr>
                    <a:xfrm>
                      <a:off x="0" y="0"/>
                      <a:ext cx="1604784" cy="768953"/>
                    </a:xfrm>
                    <a:prstGeom prst="rect">
                      <a:avLst/>
                    </a:prstGeom>
                  </pic:spPr>
                </pic:pic>
              </a:graphicData>
            </a:graphic>
          </wp:anchor>
        </w:drawing>
      </w:r>
    </w:p>
    <w:p w:rsidR="00583ADF" w:rsidRDefault="00583ADF">
      <w:pPr>
        <w:pStyle w:val="Corpsdetexte"/>
        <w:rPr>
          <w:rFonts w:ascii="Times New Roman"/>
          <w:sz w:val="20"/>
        </w:rPr>
      </w:pPr>
    </w:p>
    <w:p w:rsidR="00583ADF" w:rsidRDefault="00583ADF">
      <w:pPr>
        <w:pStyle w:val="Corpsdetexte"/>
        <w:rPr>
          <w:rFonts w:ascii="Times New Roman"/>
          <w:sz w:val="20"/>
        </w:rPr>
      </w:pPr>
    </w:p>
    <w:p w:rsidR="00583ADF" w:rsidRDefault="00583ADF">
      <w:pPr>
        <w:pStyle w:val="Corpsdetexte"/>
        <w:rPr>
          <w:rFonts w:ascii="Times New Roman"/>
          <w:sz w:val="20"/>
        </w:rPr>
      </w:pPr>
    </w:p>
    <w:p w:rsidR="00583ADF" w:rsidRDefault="00583ADF">
      <w:pPr>
        <w:pStyle w:val="Corpsdetexte"/>
        <w:spacing w:before="9"/>
        <w:rPr>
          <w:rFonts w:ascii="Times New Roman"/>
          <w:sz w:val="23"/>
        </w:rPr>
      </w:pPr>
    </w:p>
    <w:p w:rsidR="00583ADF" w:rsidRDefault="00741A82">
      <w:pPr>
        <w:pStyle w:val="Titre1"/>
      </w:pPr>
      <w:r>
        <w:rPr>
          <w:color w:val="595959"/>
        </w:rPr>
        <w:t xml:space="preserve">DESENVOLVIMENTO DE CAPACIDADES DE ELABORAÇÃO DE LEIS E POLÍTICAS SOBRE DESLOCAÇÕES INTERNAS</w:t>
      </w:r>
    </w:p>
    <w:p w:rsidR="00583ADF" w:rsidRDefault="00583ADF">
      <w:pPr>
        <w:pStyle w:val="Corpsdetexte"/>
        <w:rPr>
          <w:sz w:val="28"/>
        </w:rPr>
      </w:pPr>
    </w:p>
    <w:p w:rsidR="00583ADF" w:rsidRDefault="00583ADF">
      <w:pPr>
        <w:pStyle w:val="Corpsdetexte"/>
        <w:rPr>
          <w:sz w:val="28"/>
        </w:rPr>
      </w:pPr>
    </w:p>
    <w:p w:rsidR="00583ADF" w:rsidRDefault="00583ADF">
      <w:pPr>
        <w:pStyle w:val="Corpsdetexte"/>
        <w:spacing w:before="1"/>
        <w:rPr>
          <w:sz w:val="25"/>
        </w:rPr>
      </w:pPr>
    </w:p>
    <w:p w:rsidR="00583ADF" w:rsidRDefault="00741A82">
      <w:pPr>
        <w:pStyle w:val="Titre"/>
      </w:pPr>
      <w:r>
        <w:rPr>
          <w:color w:val="5B9BD5"/>
        </w:rPr>
        <w:t xml:space="preserve">SESSÃO 8:</w:t>
      </w:r>
      <w:r>
        <w:rPr>
          <w:color w:val="5B9BD5"/>
        </w:rPr>
        <w:t xml:space="preserve"> </w:t>
      </w:r>
      <w:r>
        <w:rPr>
          <w:color w:val="5B9BD5"/>
        </w:rPr>
        <w:t xml:space="preserve">ELABORAÇÃO</w:t>
      </w:r>
    </w:p>
    <w:p w:rsidR="00583ADF" w:rsidRDefault="00741A82">
      <w:pPr>
        <w:pStyle w:val="Titre1"/>
        <w:spacing w:before="303"/>
        <w:ind w:right="928"/>
      </w:pPr>
      <w:r>
        <w:rPr>
          <w:color w:val="595959"/>
        </w:rPr>
        <w:t xml:space="preserve">RESUMO E ÍNDICE DA POLÍTICA NACIONAL SOBRE AS PDI DO AFEGANISTÃO</w:t>
      </w:r>
    </w:p>
    <w:p w:rsidR="00583ADF" w:rsidRDefault="00583ADF">
      <w:pPr>
        <w:pStyle w:val="Corpsdetexte"/>
        <w:rPr>
          <w:sz w:val="20"/>
        </w:rPr>
      </w:pPr>
    </w:p>
    <w:p w:rsidR="00583ADF" w:rsidRDefault="00583ADF">
      <w:pPr>
        <w:pStyle w:val="Corpsdetexte"/>
        <w:rPr>
          <w:sz w:val="20"/>
        </w:rPr>
      </w:pPr>
    </w:p>
    <w:p w:rsidR="00583ADF" w:rsidRDefault="00583ADF">
      <w:pPr>
        <w:pStyle w:val="Corpsdetexte"/>
        <w:rPr>
          <w:sz w:val="20"/>
        </w:rPr>
      </w:pPr>
    </w:p>
    <w:p w:rsidR="00583ADF" w:rsidRDefault="00583ADF">
      <w:pPr>
        <w:pStyle w:val="Corpsdetexte"/>
        <w:rPr>
          <w:sz w:val="19"/>
        </w:rPr>
      </w:pPr>
    </w:p>
    <w:p w:rsidR="00583ADF" w:rsidRDefault="00741A82">
      <w:pPr>
        <w:tabs>
          <w:tab w:val="left" w:pos="9371"/>
        </w:tabs>
        <w:spacing w:before="106"/>
        <w:ind w:left="127"/>
        <w:rPr>
          <w:b/>
          <w:sz w:val="21"/>
        </w:rPr>
      </w:pPr>
      <w:r>
        <w:rPr>
          <w:color w:val="FFFFFF"/>
          <w:sz w:val="21"/>
          <w:shd w:val="clear" w:color="auto" w:fill="5B9BD5"/>
          <w:rFonts w:ascii="Times New Roman"/>
        </w:rPr>
        <w:t xml:space="preserve">  </w:t>
      </w:r>
      <w:r>
        <w:rPr>
          <w:color w:val="FFFFFF"/>
          <w:sz w:val="21"/>
          <w:shd w:val="clear" w:color="auto" w:fill="5B9BD5"/>
          <w:b/>
        </w:rPr>
        <w:t xml:space="preserve">RESUMO</w:t>
      </w:r>
      <w:r>
        <w:rPr>
          <w:color w:val="FFFFFF"/>
          <w:sz w:val="21"/>
          <w:shd w:val="clear" w:color="auto" w:fill="5B9BD5"/>
          <w:b/>
        </w:rPr>
        <w:tab/>
      </w:r>
    </w:p>
    <w:p w:rsidR="00583ADF" w:rsidRDefault="00583ADF">
      <w:pPr>
        <w:pStyle w:val="Corpsdetexte"/>
        <w:spacing w:before="4"/>
        <w:rPr>
          <w:b/>
          <w:sz w:val="16"/>
        </w:rPr>
      </w:pPr>
    </w:p>
    <w:p w:rsidR="00583ADF" w:rsidRDefault="00741A82">
      <w:pPr>
        <w:pStyle w:val="Corpsdetexte"/>
        <w:spacing w:before="106" w:line="252" w:lineRule="auto"/>
        <w:ind w:left="213" w:right="501"/>
      </w:pPr>
      <w:r>
        <w:t xml:space="preserve">A seguinte introdução e lista de direitos, funções e responsabilidades baseia-se, em grande medida, no resumo de uma política de 2015 em matéria de política nacional sobre as PDI do Afeganistão, publicada por Samuel Hall Consulting e</w:t>
      </w:r>
      <w:r>
        <w:t xml:space="preserve"> </w:t>
      </w:r>
      <w:r>
        <w:t xml:space="preserve">disponível em</w:t>
      </w:r>
      <w:r>
        <w:t xml:space="preserve"> </w:t>
      </w:r>
      <w:hyperlink r:id="rId11">
        <w:r>
          <w:rPr>
            <w:color w:val="0563C1"/>
            <w:u w:val="single" w:color="0563C1"/>
          </w:rPr>
          <w:t xml:space="preserve">http://goo.gl/Lx2TQxk</w:t>
        </w:r>
      </w:hyperlink>
      <w:r>
        <w:t xml:space="preserve">.</w:t>
      </w:r>
    </w:p>
    <w:p w:rsidR="00583ADF" w:rsidRDefault="00741A82">
      <w:pPr>
        <w:pStyle w:val="Corpsdetexte"/>
        <w:spacing w:before="200"/>
        <w:ind w:left="213"/>
      </w:pPr>
      <w:r>
        <w:t xml:space="preserve">A coluna da direita é a análise do IDMC.</w:t>
      </w:r>
    </w:p>
    <w:p w:rsidR="00583ADF" w:rsidRDefault="00741A82">
      <w:pPr>
        <w:pStyle w:val="Corpsdetexte"/>
        <w:spacing w:before="200" w:line="247" w:lineRule="auto"/>
        <w:ind w:left="213" w:right="501"/>
      </w:pPr>
      <w:r>
        <w:rPr>
          <w:color w:val="1F4D78"/>
          <w:sz w:val="24"/>
        </w:rPr>
        <w:t xml:space="preserve">PROMULGAÇÃO:</w:t>
      </w:r>
      <w:r>
        <w:rPr>
          <w:color w:val="1F4D78"/>
          <w:sz w:val="24"/>
        </w:rPr>
        <w:t xml:space="preserve"> </w:t>
      </w:r>
      <w:r>
        <w:t xml:space="preserve">a política nacional sobre as PDI do Afeganistão foi aprovada numa reunião de conselho de ministros do país, a 25 de novembro de 2013 e promulgada a 11 de fevereiro de 2014.</w:t>
      </w:r>
    </w:p>
    <w:p w:rsidR="00583ADF" w:rsidRDefault="00741A82">
      <w:pPr>
        <w:pStyle w:val="Corpsdetexte"/>
        <w:spacing w:before="198" w:line="249" w:lineRule="auto"/>
        <w:ind w:left="213" w:right="501"/>
      </w:pPr>
      <w:r>
        <w:rPr>
          <w:color w:val="1F4D78"/>
          <w:sz w:val="24"/>
        </w:rPr>
        <w:t xml:space="preserve">OBRIGAÇÕES LEGAIS – PROTEGER OS DIREITOS DAS PDI:</w:t>
      </w:r>
      <w:r>
        <w:rPr>
          <w:color w:val="1F4D78"/>
          <w:sz w:val="24"/>
        </w:rPr>
        <w:t xml:space="preserve"> </w:t>
      </w:r>
      <w:r>
        <w:t xml:space="preserve">a política descreve as funções e responsabilidades dos ministérios do governo e dos seus parceiros humanitários e de desenvolvimento.</w:t>
      </w:r>
      <w:r>
        <w:t xml:space="preserve"> </w:t>
      </w:r>
      <w:r>
        <w:t xml:space="preserve">Garante que as respostas são baseadas na constituição afegã e nos direitos das PDI como cidadãos do Afeganistão, estando em conformidade com a lei internacional de direitos humanos e os Princípios Orientadores.</w:t>
      </w:r>
    </w:p>
    <w:p w:rsidR="00583ADF" w:rsidRDefault="00741A82">
      <w:pPr>
        <w:pStyle w:val="Corpsdetexte"/>
        <w:spacing w:before="3"/>
        <w:rPr>
          <w:sz w:val="15"/>
        </w:rPr>
      </w:pPr>
      <w:r>
        <w:pict>
          <v:group id="_x0000_s1029" style="position:absolute;margin-left:66.35pt;margin-top:11.25pt;width:474.5pt;height:114pt;z-index:-15728128;mso-wrap-distance-left:0;mso-wrap-distance-right:0;mso-position-horizontal-relative:page" coordorigin="1327,225" coordsize="9490,2280">
            <v:rect id="_x0000_s1033" style="position:absolute;left:5292;top:225;width:5487;height:2280" fillcolor="#f2f2f2" stroked="f"/>
            <v:shape id="_x0000_s1032" style="position:absolute;left:5244;top:225;width:5573;height:2280" coordorigin="5244,225" coordsize="5573,2280" o:spt="100" adj="0,,0" path="m5287,225r-43,l5244,2505r43,l5287,225xm10817,225r-43,l10774,2505r43,l10817,225xe" stroked="f">
              <v:stroke joinstyle="round"/>
              <v:formulas/>
              <v:path arrowok="t" o:connecttype="segments"/>
            </v:shape>
            <v:shapetype id="_x0000_t202" coordsize="21600,21600" o:spt="202" path="m,l,21600r21600,l21600,xe">
              <v:stroke joinstyle="miter"/>
              <v:path gradientshapeok="t" o:connecttype="rect"/>
            </v:shapetype>
            <v:shape id="_x0000_s1031" type="#_x0000_t202" style="position:absolute;left:1327;top:225;width:3922;height:2280" fillcolor="#f2f2f2" stroked="f">
              <v:textbox inset="0,0,0,0">
                <w:txbxContent>
                  <w:p w:rsidR="00583ADF" w:rsidRDefault="00741A82">
                    <w:pPr>
                      <w:spacing w:before="208" w:line="252" w:lineRule="auto"/>
                      <w:ind w:left="86"/>
                      <w:rPr>
                        <w:sz w:val="21"/>
                      </w:rPr>
                    </w:pPr>
                    <w:r>
                      <w:rPr>
                        <w:sz w:val="21"/>
                      </w:rPr>
                      <w:t xml:space="preserve">Direito à liberdade de movimento e residência (artigo 39 da constituição afegã).</w:t>
                    </w:r>
                  </w:p>
                </w:txbxContent>
              </v:textbox>
            </v:shape>
            <v:shape id="_x0000_s1030" type="#_x0000_t202" style="position:absolute;left:5287;top:225;width:5487;height:2280" filled="f" stroked="f">
              <v:textbox inset="0,0,0,0">
                <w:txbxContent>
                  <w:p w:rsidR="00583ADF" w:rsidRDefault="00741A82">
                    <w:pPr>
                      <w:spacing w:before="208" w:line="252" w:lineRule="auto"/>
                      <w:ind w:left="91" w:right="26"/>
                      <w:rPr>
                        <w:sz w:val="21"/>
                      </w:rPr>
                    </w:pPr>
                    <w:r>
                      <w:rPr>
                        <w:sz w:val="21"/>
                      </w:rPr>
                      <w:t xml:space="preserve">De acordo com o princípio orientador 14, para assegurar que as pessoas têm o direito de se deslocar e procurar segurança noutra área à sua escolha.</w:t>
                    </w:r>
                    <w:r>
                      <w:rPr>
                        <w:sz w:val="21"/>
                      </w:rPr>
                      <w:t xml:space="preserve"> </w:t>
                    </w:r>
                    <w:r>
                      <w:rPr>
                        <w:sz w:val="21"/>
                      </w:rPr>
                      <w:t xml:space="preserve">“Mesmo a pessoa deslocada internamente tem o direito à liberdade de movimento e a liberdade de escolher a sua residência.</w:t>
                    </w:r>
                  </w:p>
                  <w:p w:rsidR="00583ADF" w:rsidRDefault="00741A82">
                    <w:pPr>
                      <w:spacing w:before="195" w:line="252" w:lineRule="auto"/>
                      <w:ind w:left="91" w:right="26"/>
                      <w:rPr>
                        <w:sz w:val="21"/>
                      </w:rPr>
                    </w:pPr>
                    <w:r>
                      <w:rPr>
                        <w:sz w:val="21"/>
                      </w:rPr>
                      <w:t xml:space="preserve">2.</w:t>
                    </w:r>
                    <w:r>
                      <w:rPr>
                        <w:sz w:val="21"/>
                      </w:rPr>
                      <w:t xml:space="preserve"> </w:t>
                    </w:r>
                    <w:r>
                      <w:rPr>
                        <w:sz w:val="21"/>
                      </w:rPr>
                      <w:t xml:space="preserve">Mais especificamente, as pessoas deslocadas internamente têm o direito de se deslocar livremente, dentro e fora dos campos ou outras instalações.”</w:t>
                    </w:r>
                  </w:p>
                </w:txbxContent>
              </v:textbox>
            </v:shape>
            <w10:wrap type="topAndBottom" anchorx="page"/>
          </v:group>
        </w:pict>
      </w:r>
    </w:p>
    <w:p w:rsidR="00583ADF" w:rsidRDefault="00583ADF">
      <w:pPr>
        <w:rPr>
          <w:sz w:val="15"/>
        </w:rPr>
        <w:sectPr w:rsidR="00583ADF">
          <w:type w:val="continuous"/>
          <w:pgSz w:w="11900" w:h="16820"/>
          <w:pgMar w:top="900" w:right="960" w:bottom="280" w:left="1200" w:header="708" w:footer="708" w:gutter="0"/>
          <w:cols w:space="708"/>
        </w:sectPr>
      </w:pPr>
    </w:p>
    <w:tbl>
      <w:tblPr>
        <w:tblStyle w:val="TableNormal"/>
        <w:tblW w:w="0" w:type="auto"/>
        <w:tblInd w:w="113"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1E0" w:firstRow="1" w:lastRow="1" w:firstColumn="1" w:lastColumn="1" w:noHBand="0" w:noVBand="0"/>
      </w:tblPr>
      <w:tblGrid>
        <w:gridCol w:w="3938"/>
        <w:gridCol w:w="5529"/>
      </w:tblGrid>
      <w:tr w:rsidR="00583ADF">
        <w:trPr>
          <w:trHeight w:val="526"/>
        </w:trPr>
        <w:tc>
          <w:tcPr>
            <w:tcW w:w="3938" w:type="dxa"/>
            <w:tcBorders>
              <w:top w:val="nil"/>
              <w:left w:val="nil"/>
              <w:right w:val="single" w:sz="18" w:space="0" w:color="FFFFFF"/>
            </w:tcBorders>
            <w:shd w:val="clear" w:color="auto" w:fill="F2F2F2"/>
          </w:tcPr>
          <w:p w:rsidR="00583ADF" w:rsidRDefault="00583ADF">
            <w:pPr>
              <w:pStyle w:val="TableParagraph"/>
              <w:spacing w:before="0"/>
              <w:ind w:left="0"/>
              <w:rPr>
                <w:rFonts w:ascii="Times New Roman"/>
                <w:sz w:val="20"/>
              </w:rPr>
            </w:pPr>
          </w:p>
        </w:tc>
        <w:tc>
          <w:tcPr>
            <w:tcW w:w="5529" w:type="dxa"/>
            <w:tcBorders>
              <w:top w:val="nil"/>
              <w:left w:val="single" w:sz="18" w:space="0" w:color="FFFFFF"/>
              <w:right w:val="single" w:sz="18" w:space="0" w:color="FFFFFF"/>
            </w:tcBorders>
            <w:shd w:val="clear" w:color="auto" w:fill="F2F2F2"/>
          </w:tcPr>
          <w:p w:rsidR="00583ADF" w:rsidRDefault="00741A82">
            <w:pPr>
              <w:pStyle w:val="TableParagraph"/>
              <w:spacing w:before="6"/>
              <w:rPr>
                <w:sz w:val="21"/>
              </w:rPr>
            </w:pPr>
            <w:r>
              <w:rPr>
                <w:sz w:val="21"/>
              </w:rPr>
              <w:t xml:space="preserve">Esta disposição só pode ser limitada por preocupações de segurança</w:t>
            </w:r>
          </w:p>
          <w:p w:rsidR="00583ADF" w:rsidRDefault="00741A82">
            <w:pPr>
              <w:pStyle w:val="TableParagraph"/>
              <w:spacing w:before="13" w:line="232" w:lineRule="exact"/>
              <w:rPr>
                <w:sz w:val="21"/>
              </w:rPr>
            </w:pPr>
            <w:r>
              <w:rPr>
                <w:sz w:val="21"/>
              </w:rPr>
              <w:t xml:space="preserve">e proteção.</w:t>
            </w:r>
          </w:p>
        </w:tc>
      </w:tr>
      <w:tr w:rsidR="00583ADF">
        <w:trPr>
          <w:trHeight w:val="3827"/>
        </w:trPr>
        <w:tc>
          <w:tcPr>
            <w:tcW w:w="3938" w:type="dxa"/>
            <w:tcBorders>
              <w:left w:val="nil"/>
              <w:right w:val="single" w:sz="18" w:space="0" w:color="FFFFFF"/>
            </w:tcBorders>
            <w:shd w:val="clear" w:color="auto" w:fill="F2F2F2"/>
          </w:tcPr>
          <w:p w:rsidR="00583ADF" w:rsidRDefault="00741A82">
            <w:pPr>
              <w:pStyle w:val="TableParagraph"/>
              <w:spacing w:before="202" w:line="249" w:lineRule="auto"/>
              <w:ind w:left="107"/>
              <w:rPr>
                <w:sz w:val="21"/>
              </w:rPr>
            </w:pPr>
            <w:r>
              <w:rPr>
                <w:sz w:val="21"/>
              </w:rPr>
              <w:t xml:space="preserve">Direito a habitação adequada, incluindo a segurança de propriedade e num local apropriado</w:t>
            </w:r>
          </w:p>
        </w:tc>
        <w:tc>
          <w:tcPr>
            <w:tcW w:w="5529" w:type="dxa"/>
            <w:tcBorders>
              <w:left w:val="single" w:sz="18" w:space="0" w:color="FFFFFF"/>
              <w:right w:val="single" w:sz="18" w:space="0" w:color="FFFFFF"/>
            </w:tcBorders>
            <w:shd w:val="clear" w:color="auto" w:fill="F2F2F2"/>
          </w:tcPr>
          <w:p w:rsidR="00583ADF" w:rsidRDefault="00741A82">
            <w:pPr>
              <w:pStyle w:val="TableParagraph"/>
              <w:spacing w:before="202" w:line="252" w:lineRule="auto"/>
              <w:ind w:right="75"/>
              <w:rPr>
                <w:sz w:val="19"/>
              </w:rPr>
            </w:pPr>
            <w:r>
              <w:rPr>
                <w:sz w:val="19"/>
              </w:rPr>
              <w:t xml:space="preserve">Este direito é reconhecido em muitas constituições nacionais e na Declaração Universal de Direitos Humanos e no Pacto Internacional dos Direitos Económicos, Sociais e Culturais.</w:t>
            </w:r>
            <w:r>
              <w:rPr>
                <w:sz w:val="19"/>
              </w:rPr>
              <w:t xml:space="preserve"> </w:t>
            </w:r>
            <w:r>
              <w:rPr>
                <w:sz w:val="19"/>
              </w:rPr>
              <w:t xml:space="preserve">É essencial para assegurar que as PDI não serão alvo de despejo forçado e/ou recolocadas num local inadequado.</w:t>
            </w:r>
            <w:r>
              <w:rPr>
                <w:sz w:val="19"/>
              </w:rPr>
              <w:t xml:space="preserve"> </w:t>
            </w:r>
            <w:r>
              <w:rPr>
                <w:sz w:val="19"/>
              </w:rPr>
              <w:t xml:space="preserve">O direito a habitação adequada implica:</w:t>
            </w:r>
          </w:p>
          <w:p w:rsidR="00583ADF" w:rsidRDefault="00741A82">
            <w:pPr>
              <w:pStyle w:val="TableParagraph"/>
              <w:numPr>
                <w:ilvl w:val="0"/>
                <w:numId w:val="3"/>
              </w:numPr>
              <w:tabs>
                <w:tab w:val="left" w:pos="832"/>
                <w:tab w:val="left" w:pos="833"/>
              </w:tabs>
              <w:spacing w:before="203"/>
              <w:ind w:hanging="361"/>
              <w:rPr>
                <w:sz w:val="19"/>
              </w:rPr>
            </w:pPr>
            <w:r>
              <w:rPr>
                <w:sz w:val="19"/>
              </w:rPr>
              <w:t xml:space="preserve">Segurança legal de propriedade.</w:t>
            </w:r>
          </w:p>
          <w:p w:rsidR="00583ADF" w:rsidRDefault="00741A82">
            <w:pPr>
              <w:pStyle w:val="TableParagraph"/>
              <w:numPr>
                <w:ilvl w:val="0"/>
                <w:numId w:val="3"/>
              </w:numPr>
              <w:tabs>
                <w:tab w:val="left" w:pos="832"/>
                <w:tab w:val="left" w:pos="833"/>
              </w:tabs>
              <w:spacing w:before="8" w:line="254" w:lineRule="auto"/>
              <w:ind w:right="888"/>
              <w:rPr>
                <w:sz w:val="19"/>
              </w:rPr>
            </w:pPr>
            <w:r>
              <w:rPr>
                <w:sz w:val="19"/>
              </w:rPr>
              <w:t xml:space="preserve">Disponibilidade de serviços, materiais, instalações e infraestruturas.</w:t>
            </w:r>
          </w:p>
          <w:p w:rsidR="00583ADF" w:rsidRDefault="00741A82">
            <w:pPr>
              <w:pStyle w:val="TableParagraph"/>
              <w:numPr>
                <w:ilvl w:val="0"/>
                <w:numId w:val="3"/>
              </w:numPr>
              <w:tabs>
                <w:tab w:val="left" w:pos="832"/>
                <w:tab w:val="left" w:pos="833"/>
              </w:tabs>
              <w:spacing w:before="0" w:line="230" w:lineRule="exact"/>
              <w:ind w:hanging="361"/>
              <w:rPr>
                <w:sz w:val="19"/>
              </w:rPr>
            </w:pPr>
            <w:r>
              <w:rPr>
                <w:sz w:val="19"/>
              </w:rPr>
              <w:t xml:space="preserve">Viabilidade.</w:t>
            </w:r>
          </w:p>
          <w:p w:rsidR="00583ADF" w:rsidRDefault="00741A82">
            <w:pPr>
              <w:pStyle w:val="TableParagraph"/>
              <w:numPr>
                <w:ilvl w:val="0"/>
                <w:numId w:val="3"/>
              </w:numPr>
              <w:tabs>
                <w:tab w:val="left" w:pos="832"/>
                <w:tab w:val="left" w:pos="833"/>
              </w:tabs>
              <w:spacing w:before="13"/>
              <w:ind w:hanging="361"/>
              <w:rPr>
                <w:sz w:val="19"/>
              </w:rPr>
            </w:pPr>
            <w:r>
              <w:rPr>
                <w:sz w:val="19"/>
              </w:rPr>
              <w:t xml:space="preserve">Habitabilidade.</w:t>
            </w:r>
          </w:p>
          <w:p w:rsidR="00583ADF" w:rsidRDefault="00741A82">
            <w:pPr>
              <w:pStyle w:val="TableParagraph"/>
              <w:numPr>
                <w:ilvl w:val="0"/>
                <w:numId w:val="3"/>
              </w:numPr>
              <w:tabs>
                <w:tab w:val="left" w:pos="832"/>
                <w:tab w:val="left" w:pos="833"/>
              </w:tabs>
              <w:spacing w:before="13"/>
              <w:ind w:hanging="361"/>
              <w:rPr>
                <w:sz w:val="19"/>
              </w:rPr>
            </w:pPr>
            <w:r>
              <w:rPr>
                <w:sz w:val="19"/>
              </w:rPr>
              <w:t xml:space="preserve">Acessibilidade</w:t>
            </w:r>
          </w:p>
          <w:p w:rsidR="00583ADF" w:rsidRDefault="00741A82">
            <w:pPr>
              <w:pStyle w:val="TableParagraph"/>
              <w:numPr>
                <w:ilvl w:val="0"/>
                <w:numId w:val="3"/>
              </w:numPr>
              <w:tabs>
                <w:tab w:val="left" w:pos="832"/>
                <w:tab w:val="left" w:pos="833"/>
              </w:tabs>
              <w:spacing w:before="12"/>
              <w:ind w:hanging="361"/>
              <w:rPr>
                <w:sz w:val="19"/>
              </w:rPr>
            </w:pPr>
            <w:r>
              <w:rPr>
                <w:sz w:val="19"/>
              </w:rPr>
              <w:t xml:space="preserve">Local.</w:t>
            </w:r>
          </w:p>
          <w:p w:rsidR="00583ADF" w:rsidRDefault="00741A82">
            <w:pPr>
              <w:pStyle w:val="TableParagraph"/>
              <w:numPr>
                <w:ilvl w:val="0"/>
                <w:numId w:val="3"/>
              </w:numPr>
              <w:tabs>
                <w:tab w:val="left" w:pos="832"/>
                <w:tab w:val="left" w:pos="833"/>
              </w:tabs>
              <w:spacing w:before="13"/>
              <w:ind w:hanging="361"/>
              <w:rPr>
                <w:sz w:val="19"/>
              </w:rPr>
            </w:pPr>
            <w:r>
              <w:rPr>
                <w:sz w:val="19"/>
              </w:rPr>
              <w:t xml:space="preserve">Adequação cultural.</w:t>
            </w:r>
          </w:p>
        </w:tc>
      </w:tr>
      <w:tr w:rsidR="00583ADF">
        <w:trPr>
          <w:trHeight w:val="1169"/>
        </w:trPr>
        <w:tc>
          <w:tcPr>
            <w:tcW w:w="3938" w:type="dxa"/>
            <w:tcBorders>
              <w:left w:val="nil"/>
              <w:bottom w:val="single" w:sz="18" w:space="0" w:color="FFFFFF"/>
              <w:right w:val="single" w:sz="18" w:space="0" w:color="FFFFFF"/>
            </w:tcBorders>
            <w:shd w:val="clear" w:color="auto" w:fill="F2F2F2"/>
          </w:tcPr>
          <w:p w:rsidR="00583ADF" w:rsidRDefault="00741A82">
            <w:pPr>
              <w:pStyle w:val="TableParagraph"/>
              <w:spacing w:before="202"/>
              <w:ind w:left="107"/>
              <w:rPr>
                <w:sz w:val="21"/>
              </w:rPr>
            </w:pPr>
            <w:r>
              <w:rPr>
                <w:sz w:val="21"/>
              </w:rPr>
              <w:t xml:space="preserve">Direito à subsistência.</w:t>
            </w:r>
          </w:p>
        </w:tc>
        <w:tc>
          <w:tcPr>
            <w:tcW w:w="5529" w:type="dxa"/>
            <w:tcBorders>
              <w:left w:val="single" w:sz="18" w:space="0" w:color="FFFFFF"/>
              <w:bottom w:val="single" w:sz="18" w:space="0" w:color="FFFFFF"/>
              <w:right w:val="single" w:sz="18" w:space="0" w:color="FFFFFF"/>
            </w:tcBorders>
            <w:shd w:val="clear" w:color="auto" w:fill="F2F2F2"/>
          </w:tcPr>
          <w:p w:rsidR="00583ADF" w:rsidRDefault="00741A82">
            <w:pPr>
              <w:pStyle w:val="TableParagraph"/>
              <w:spacing w:before="202" w:line="252" w:lineRule="auto"/>
              <w:ind w:right="167"/>
              <w:jc w:val="both"/>
              <w:rPr>
                <w:sz w:val="19"/>
              </w:rPr>
            </w:pPr>
            <w:r>
              <w:rPr>
                <w:sz w:val="19"/>
              </w:rPr>
              <w:t xml:space="preserve">De acordo com o princípio orientador 18, o direito à subsistência é essencial para garantir que as PDI não são discriminadas e têm acesso a oportunidades de subsistência.</w:t>
            </w:r>
            <w:r>
              <w:rPr>
                <w:sz w:val="19"/>
              </w:rPr>
              <w:t xml:space="preserve"> </w:t>
            </w:r>
            <w:r>
              <w:rPr>
                <w:sz w:val="19"/>
              </w:rPr>
              <w:t xml:space="preserve">É da maior</w:t>
            </w:r>
          </w:p>
          <w:p w:rsidR="00583ADF" w:rsidRDefault="00741A82">
            <w:pPr>
              <w:pStyle w:val="TableParagraph"/>
              <w:spacing w:before="0" w:line="217" w:lineRule="exact"/>
              <w:jc w:val="both"/>
              <w:rPr>
                <w:sz w:val="19"/>
              </w:rPr>
            </w:pPr>
            <w:r>
              <w:rPr>
                <w:sz w:val="19"/>
              </w:rPr>
              <w:t xml:space="preserve">importância para a obtenção de soluções duradouras.</w:t>
            </w:r>
          </w:p>
        </w:tc>
      </w:tr>
      <w:tr w:rsidR="00583ADF">
        <w:trPr>
          <w:trHeight w:val="4058"/>
        </w:trPr>
        <w:tc>
          <w:tcPr>
            <w:tcW w:w="3938" w:type="dxa"/>
            <w:tcBorders>
              <w:top w:val="single" w:sz="18" w:space="0" w:color="FFFFFF"/>
              <w:left w:val="nil"/>
              <w:right w:val="single" w:sz="18" w:space="0" w:color="FFFFFF"/>
            </w:tcBorders>
            <w:shd w:val="clear" w:color="auto" w:fill="F2F2F2"/>
          </w:tcPr>
          <w:p w:rsidR="00583ADF" w:rsidRDefault="00741A82">
            <w:pPr>
              <w:pStyle w:val="TableParagraph"/>
              <w:spacing w:line="252" w:lineRule="auto"/>
              <w:ind w:left="107"/>
              <w:rPr>
                <w:sz w:val="21"/>
              </w:rPr>
            </w:pPr>
            <w:r>
              <w:rPr>
                <w:sz w:val="21"/>
              </w:rPr>
              <w:t xml:space="preserve">Direito a água, alimentação e vestuário - padrão de vida adequado</w:t>
            </w:r>
          </w:p>
        </w:tc>
        <w:tc>
          <w:tcPr>
            <w:tcW w:w="5529" w:type="dxa"/>
            <w:tcBorders>
              <w:top w:val="single" w:sz="18" w:space="0" w:color="FFFFFF"/>
              <w:left w:val="single" w:sz="18" w:space="0" w:color="FFFFFF"/>
              <w:right w:val="single" w:sz="18" w:space="0" w:color="FFFFFF"/>
            </w:tcBorders>
            <w:shd w:val="clear" w:color="auto" w:fill="F2F2F2"/>
          </w:tcPr>
          <w:p w:rsidR="00583ADF" w:rsidRDefault="00741A82">
            <w:pPr>
              <w:pStyle w:val="TableParagraph"/>
              <w:spacing w:line="254" w:lineRule="auto"/>
              <w:ind w:right="282"/>
              <w:rPr>
                <w:sz w:val="19"/>
              </w:rPr>
            </w:pPr>
            <w:r>
              <w:rPr>
                <w:sz w:val="19"/>
              </w:rPr>
              <w:t xml:space="preserve">Princípio orientador 18:</w:t>
            </w:r>
            <w:r>
              <w:rPr>
                <w:sz w:val="19"/>
              </w:rPr>
              <w:t xml:space="preserve"> </w:t>
            </w:r>
            <w:r>
              <w:rPr>
                <w:sz w:val="19"/>
              </w:rPr>
              <w:t xml:space="preserve">“Todas as pessoas deslocadas internamente têm o direito a um padrão de vida adequado.</w:t>
            </w:r>
          </w:p>
          <w:p w:rsidR="00583ADF" w:rsidRDefault="00741A82">
            <w:pPr>
              <w:pStyle w:val="TableParagraph"/>
              <w:spacing w:before="199"/>
              <w:rPr>
                <w:sz w:val="19"/>
              </w:rPr>
            </w:pPr>
            <w:r>
              <w:rPr>
                <w:sz w:val="19"/>
              </w:rPr>
              <w:t xml:space="preserve">2.</w:t>
            </w:r>
            <w:r>
              <w:rPr>
                <w:sz w:val="19"/>
              </w:rPr>
              <w:t xml:space="preserve"> </w:t>
            </w:r>
            <w:r>
              <w:rPr>
                <w:sz w:val="19"/>
              </w:rPr>
              <w:t xml:space="preserve">No mínimo, independentemente das circunstâncias e sem discriminação,</w:t>
            </w:r>
          </w:p>
          <w:p w:rsidR="00583ADF" w:rsidRDefault="00741A82">
            <w:pPr>
              <w:pStyle w:val="TableParagraph"/>
              <w:spacing w:before="210" w:line="254" w:lineRule="auto"/>
              <w:ind w:right="389"/>
              <w:rPr>
                <w:sz w:val="19"/>
              </w:rPr>
            </w:pPr>
            <w:r>
              <w:rPr>
                <w:sz w:val="19"/>
              </w:rPr>
              <w:t xml:space="preserve">as autoridades competentes devem assegurar às pessoas deslocadas internamente</w:t>
            </w:r>
          </w:p>
          <w:p w:rsidR="00583ADF" w:rsidRDefault="00741A82">
            <w:pPr>
              <w:pStyle w:val="TableParagraph"/>
              <w:spacing w:before="199"/>
              <w:rPr>
                <w:sz w:val="19"/>
              </w:rPr>
            </w:pPr>
            <w:r>
              <w:rPr>
                <w:sz w:val="19"/>
              </w:rPr>
              <w:t xml:space="preserve">o acesso seguro a:</w:t>
            </w:r>
          </w:p>
          <w:p w:rsidR="00583ADF" w:rsidRDefault="00741A82">
            <w:pPr>
              <w:pStyle w:val="TableParagraph"/>
              <w:numPr>
                <w:ilvl w:val="0"/>
                <w:numId w:val="2"/>
              </w:numPr>
              <w:tabs>
                <w:tab w:val="left" w:pos="375"/>
              </w:tabs>
              <w:spacing w:before="210"/>
              <w:rPr>
                <w:sz w:val="19"/>
              </w:rPr>
            </w:pPr>
            <w:r>
              <w:rPr>
                <w:sz w:val="19"/>
              </w:rPr>
              <w:t xml:space="preserve">Alimentação básica e água potável;</w:t>
            </w:r>
          </w:p>
          <w:p w:rsidR="00583ADF" w:rsidRDefault="00741A82">
            <w:pPr>
              <w:pStyle w:val="TableParagraph"/>
              <w:numPr>
                <w:ilvl w:val="0"/>
                <w:numId w:val="2"/>
              </w:numPr>
              <w:tabs>
                <w:tab w:val="left" w:pos="385"/>
              </w:tabs>
              <w:spacing w:before="214"/>
              <w:ind w:left="384" w:hanging="273"/>
              <w:rPr>
                <w:sz w:val="19"/>
              </w:rPr>
            </w:pPr>
            <w:r>
              <w:rPr>
                <w:sz w:val="19"/>
              </w:rPr>
              <w:t xml:space="preserve">Abrigo e habitação básicos;</w:t>
            </w:r>
          </w:p>
          <w:p w:rsidR="00583ADF" w:rsidRDefault="00741A82">
            <w:pPr>
              <w:pStyle w:val="TableParagraph"/>
              <w:numPr>
                <w:ilvl w:val="0"/>
                <w:numId w:val="2"/>
              </w:numPr>
              <w:tabs>
                <w:tab w:val="left" w:pos="364"/>
              </w:tabs>
              <w:spacing w:before="210"/>
              <w:ind w:left="363" w:hanging="252"/>
              <w:rPr>
                <w:sz w:val="19"/>
              </w:rPr>
            </w:pPr>
            <w:r>
              <w:rPr>
                <w:sz w:val="19"/>
              </w:rPr>
              <w:t xml:space="preserve">Vestuário adequado; e</w:t>
            </w:r>
          </w:p>
          <w:p w:rsidR="00583ADF" w:rsidRDefault="00741A82">
            <w:pPr>
              <w:pStyle w:val="TableParagraph"/>
              <w:numPr>
                <w:ilvl w:val="0"/>
                <w:numId w:val="2"/>
              </w:numPr>
              <w:tabs>
                <w:tab w:val="left" w:pos="411"/>
              </w:tabs>
              <w:spacing w:before="215" w:line="232" w:lineRule="exact"/>
              <w:ind w:left="410" w:hanging="299"/>
              <w:rPr>
                <w:sz w:val="21"/>
              </w:rPr>
            </w:pPr>
            <w:r>
              <w:rPr>
                <w:sz w:val="21"/>
              </w:rPr>
              <w:t xml:space="preserve">Serviços médicos essenciais e saneamento.”</w:t>
            </w:r>
          </w:p>
        </w:tc>
      </w:tr>
      <w:tr w:rsidR="00583ADF">
        <w:trPr>
          <w:trHeight w:val="1221"/>
        </w:trPr>
        <w:tc>
          <w:tcPr>
            <w:tcW w:w="3938" w:type="dxa"/>
            <w:tcBorders>
              <w:left w:val="nil"/>
              <w:bottom w:val="single" w:sz="18" w:space="0" w:color="FFFFFF"/>
              <w:right w:val="single" w:sz="18" w:space="0" w:color="FFFFFF"/>
            </w:tcBorders>
            <w:shd w:val="clear" w:color="auto" w:fill="F2F2F2"/>
          </w:tcPr>
          <w:p w:rsidR="00583ADF" w:rsidRDefault="00741A82">
            <w:pPr>
              <w:pStyle w:val="TableParagraph"/>
              <w:spacing w:before="202" w:line="247" w:lineRule="auto"/>
              <w:ind w:left="107"/>
              <w:rPr>
                <w:sz w:val="21"/>
              </w:rPr>
            </w:pPr>
            <w:r>
              <w:rPr>
                <w:sz w:val="21"/>
              </w:rPr>
              <w:t xml:space="preserve">Direito a cuidados de saúde (artigos 52 e 53 da constituição afegã)</w:t>
            </w:r>
          </w:p>
        </w:tc>
        <w:tc>
          <w:tcPr>
            <w:tcW w:w="5529" w:type="dxa"/>
            <w:tcBorders>
              <w:left w:val="single" w:sz="18" w:space="0" w:color="FFFFFF"/>
              <w:bottom w:val="single" w:sz="18" w:space="0" w:color="FFFFFF"/>
              <w:right w:val="single" w:sz="18" w:space="0" w:color="FFFFFF"/>
            </w:tcBorders>
            <w:shd w:val="clear" w:color="auto" w:fill="F2F2F2"/>
          </w:tcPr>
          <w:p w:rsidR="00583ADF" w:rsidRDefault="00741A82">
            <w:pPr>
              <w:pStyle w:val="TableParagraph"/>
              <w:spacing w:before="202" w:line="252" w:lineRule="auto"/>
              <w:ind w:right="280"/>
              <w:rPr>
                <w:sz w:val="19"/>
              </w:rPr>
            </w:pPr>
            <w:r>
              <w:rPr>
                <w:sz w:val="19"/>
              </w:rPr>
              <w:t xml:space="preserve">O direito a cuidados de saúde sem discriminação, incluindo a saúde reprodutiva para mulheres e raparigas.</w:t>
            </w:r>
            <w:r>
              <w:rPr>
                <w:sz w:val="19"/>
              </w:rPr>
              <w:t xml:space="preserve"> </w:t>
            </w:r>
            <w:r>
              <w:rPr>
                <w:sz w:val="19"/>
              </w:rPr>
              <w:t xml:space="preserve">A disponibilidade de mulheres médicas e paramédicas é essencial.</w:t>
            </w:r>
          </w:p>
        </w:tc>
      </w:tr>
      <w:tr w:rsidR="00583ADF">
        <w:trPr>
          <w:trHeight w:val="1231"/>
        </w:trPr>
        <w:tc>
          <w:tcPr>
            <w:tcW w:w="3938" w:type="dxa"/>
            <w:tcBorders>
              <w:top w:val="single" w:sz="18" w:space="0" w:color="FFFFFF"/>
              <w:left w:val="nil"/>
              <w:bottom w:val="single" w:sz="18" w:space="0" w:color="FFFFFF"/>
              <w:right w:val="single" w:sz="18" w:space="0" w:color="FFFFFF"/>
            </w:tcBorders>
            <w:shd w:val="clear" w:color="auto" w:fill="F2F2F2"/>
          </w:tcPr>
          <w:p w:rsidR="00583ADF" w:rsidRDefault="00741A82">
            <w:pPr>
              <w:pStyle w:val="TableParagraph"/>
              <w:spacing w:line="252" w:lineRule="auto"/>
              <w:ind w:left="107" w:right="95"/>
              <w:rPr>
                <w:sz w:val="21"/>
              </w:rPr>
            </w:pPr>
            <w:r>
              <w:rPr>
                <w:sz w:val="21"/>
              </w:rPr>
              <w:t xml:space="preserve">Direito à proteção da família (artigo 54 da constituição afegã)</w:t>
            </w:r>
          </w:p>
        </w:tc>
        <w:tc>
          <w:tcPr>
            <w:tcW w:w="5529" w:type="dxa"/>
            <w:tcBorders>
              <w:top w:val="single" w:sz="18" w:space="0" w:color="FFFFFF"/>
              <w:left w:val="single" w:sz="18" w:space="0" w:color="FFFFFF"/>
              <w:bottom w:val="single" w:sz="18" w:space="0" w:color="FFFFFF"/>
              <w:right w:val="single" w:sz="18" w:space="0" w:color="FFFFFF"/>
            </w:tcBorders>
            <w:shd w:val="clear" w:color="auto" w:fill="F2F2F2"/>
          </w:tcPr>
          <w:p w:rsidR="00583ADF" w:rsidRDefault="00741A82">
            <w:pPr>
              <w:pStyle w:val="TableParagraph"/>
              <w:spacing w:line="252" w:lineRule="auto"/>
              <w:ind w:right="75"/>
              <w:rPr>
                <w:sz w:val="21"/>
              </w:rPr>
            </w:pPr>
            <w:r>
              <w:rPr>
                <w:sz w:val="21"/>
              </w:rPr>
              <w:t xml:space="preserve">De acordo com o princípio orientador 17, este ponto protege da separação da família e o direito de saber o paradeiro dos familiares.</w:t>
            </w:r>
          </w:p>
        </w:tc>
      </w:tr>
      <w:tr w:rsidR="00583ADF">
        <w:trPr>
          <w:trHeight w:val="1539"/>
        </w:trPr>
        <w:tc>
          <w:tcPr>
            <w:tcW w:w="3938" w:type="dxa"/>
            <w:tcBorders>
              <w:top w:val="single" w:sz="18" w:space="0" w:color="FFFFFF"/>
              <w:left w:val="nil"/>
              <w:bottom w:val="nil"/>
              <w:right w:val="single" w:sz="18" w:space="0" w:color="FFFFFF"/>
            </w:tcBorders>
            <w:shd w:val="clear" w:color="auto" w:fill="F2F2F2"/>
          </w:tcPr>
          <w:p w:rsidR="00583ADF" w:rsidRDefault="00741A82">
            <w:pPr>
              <w:pStyle w:val="TableParagraph"/>
              <w:spacing w:line="252" w:lineRule="auto"/>
              <w:ind w:left="107" w:right="95"/>
              <w:rPr>
                <w:sz w:val="21"/>
              </w:rPr>
            </w:pPr>
            <w:r>
              <w:rPr>
                <w:sz w:val="21"/>
              </w:rPr>
              <w:t xml:space="preserve">Direito à educação (artigo 43 da constituição afegã)</w:t>
            </w:r>
          </w:p>
        </w:tc>
        <w:tc>
          <w:tcPr>
            <w:tcW w:w="5529" w:type="dxa"/>
            <w:tcBorders>
              <w:top w:val="single" w:sz="18" w:space="0" w:color="FFFFFF"/>
              <w:left w:val="single" w:sz="18" w:space="0" w:color="FFFFFF"/>
              <w:bottom w:val="nil"/>
              <w:right w:val="single" w:sz="18" w:space="0" w:color="FFFFFF"/>
            </w:tcBorders>
            <w:shd w:val="clear" w:color="auto" w:fill="F2F2F2"/>
          </w:tcPr>
          <w:p w:rsidR="00583ADF" w:rsidRDefault="00741A82">
            <w:pPr>
              <w:pStyle w:val="TableParagraph"/>
              <w:spacing w:line="249" w:lineRule="auto"/>
              <w:ind w:right="75"/>
              <w:rPr>
                <w:sz w:val="21"/>
              </w:rPr>
            </w:pPr>
            <w:r>
              <w:rPr>
                <w:sz w:val="21"/>
              </w:rPr>
              <w:t xml:space="preserve">A interrupção da educação é um dos efeitos mais comuns, traumatizantes e impactantes da deslocação.</w:t>
            </w:r>
            <w:r>
              <w:rPr>
                <w:sz w:val="21"/>
              </w:rPr>
              <w:t xml:space="preserve"> </w:t>
            </w:r>
            <w:r>
              <w:rPr>
                <w:sz w:val="21"/>
              </w:rPr>
              <w:t xml:space="preserve">Para não comprometer o futuro das crianças deslocadas, o acesso à educação - pelo menos ao nível primário e secundário - deve ser garantido,</w:t>
            </w:r>
          </w:p>
          <w:p w:rsidR="00583ADF" w:rsidRDefault="00741A82">
            <w:pPr>
              <w:pStyle w:val="TableParagraph"/>
              <w:spacing w:before="4" w:line="242" w:lineRule="exact"/>
              <w:rPr>
                <w:sz w:val="21"/>
              </w:rPr>
            </w:pPr>
            <w:r>
              <w:rPr>
                <w:sz w:val="21"/>
              </w:rPr>
              <w:t xml:space="preserve">mesmo em casos de emergência.</w:t>
            </w:r>
            <w:r>
              <w:rPr>
                <w:sz w:val="21"/>
              </w:rPr>
              <w:t xml:space="preserve"> </w:t>
            </w:r>
          </w:p>
        </w:tc>
      </w:tr>
    </w:tbl>
    <w:p w:rsidR="00583ADF" w:rsidRDefault="00583ADF">
      <w:pPr>
        <w:spacing w:line="242" w:lineRule="exact"/>
        <w:rPr>
          <w:sz w:val="21"/>
        </w:rPr>
        <w:sectPr w:rsidR="00583ADF">
          <w:pgSz w:w="11900" w:h="16820"/>
          <w:pgMar w:top="1460" w:right="960" w:bottom="280" w:left="1200" w:header="708" w:footer="708" w:gutter="0"/>
          <w:cols w:space="708"/>
        </w:sectPr>
      </w:pPr>
    </w:p>
    <w:tbl>
      <w:tblPr>
        <w:tblStyle w:val="TableNormal"/>
        <w:tblW w:w="0" w:type="auto"/>
        <w:tblInd w:w="11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938"/>
        <w:gridCol w:w="5529"/>
      </w:tblGrid>
      <w:tr w:rsidR="00583ADF">
        <w:trPr>
          <w:trHeight w:val="267"/>
        </w:trPr>
        <w:tc>
          <w:tcPr>
            <w:tcW w:w="3938" w:type="dxa"/>
            <w:tcBorders>
              <w:top w:val="nil"/>
              <w:left w:val="nil"/>
            </w:tcBorders>
            <w:shd w:val="clear" w:color="auto" w:fill="F2F2F2"/>
          </w:tcPr>
          <w:p w:rsidR="00583ADF" w:rsidRDefault="00583ADF">
            <w:pPr>
              <w:pStyle w:val="TableParagraph"/>
              <w:spacing w:before="0"/>
              <w:ind w:left="0"/>
              <w:rPr>
                <w:rFonts w:ascii="Times New Roman"/>
                <w:sz w:val="18"/>
              </w:rPr>
            </w:pPr>
          </w:p>
        </w:tc>
        <w:tc>
          <w:tcPr>
            <w:tcW w:w="5529" w:type="dxa"/>
            <w:tcBorders>
              <w:top w:val="nil"/>
            </w:tcBorders>
            <w:shd w:val="clear" w:color="auto" w:fill="F2F2F2"/>
          </w:tcPr>
          <w:p w:rsidR="00583ADF" w:rsidRDefault="009D78C3">
            <w:pPr>
              <w:pStyle w:val="TableParagraph"/>
              <w:spacing w:before="6" w:line="241" w:lineRule="exact"/>
              <w:rPr>
                <w:sz w:val="21"/>
              </w:rPr>
            </w:pPr>
            <w:r>
              <w:rPr>
                <w:sz w:val="21"/>
              </w:rPr>
              <w:t xml:space="preserve">O acesso das raparigas à escola deve ser promovido e facilitado.</w:t>
            </w:r>
          </w:p>
        </w:tc>
      </w:tr>
      <w:tr w:rsidR="00583ADF">
        <w:trPr>
          <w:trHeight w:val="1533"/>
        </w:trPr>
        <w:tc>
          <w:tcPr>
            <w:tcW w:w="3938" w:type="dxa"/>
            <w:tcBorders>
              <w:left w:val="nil"/>
              <w:bottom w:val="single" w:sz="24" w:space="0" w:color="FFFFFF"/>
            </w:tcBorders>
            <w:shd w:val="clear" w:color="auto" w:fill="F2F2F2"/>
          </w:tcPr>
          <w:p w:rsidR="00583ADF" w:rsidRDefault="00741A82">
            <w:pPr>
              <w:pStyle w:val="TableParagraph"/>
              <w:spacing w:line="252" w:lineRule="auto"/>
              <w:ind w:left="107"/>
              <w:rPr>
                <w:sz w:val="21"/>
              </w:rPr>
            </w:pPr>
            <w:r>
              <w:rPr>
                <w:sz w:val="21"/>
              </w:rPr>
              <w:t xml:space="preserve">Direito à proteção da propriedade e compensação</w:t>
            </w:r>
          </w:p>
        </w:tc>
        <w:tc>
          <w:tcPr>
            <w:tcW w:w="5529" w:type="dxa"/>
            <w:tcBorders>
              <w:bottom w:val="single" w:sz="24" w:space="0" w:color="FFFFFF"/>
            </w:tcBorders>
            <w:shd w:val="clear" w:color="auto" w:fill="F2F2F2"/>
          </w:tcPr>
          <w:p w:rsidR="00583ADF" w:rsidRDefault="00741A82" w:rsidP="00741A82">
            <w:pPr>
              <w:pStyle w:val="TableParagraph"/>
              <w:spacing w:line="249" w:lineRule="auto"/>
              <w:rPr>
                <w:sz w:val="21"/>
              </w:rPr>
            </w:pPr>
            <w:r>
              <w:rPr>
                <w:sz w:val="21"/>
              </w:rPr>
              <w:t xml:space="preserve">A proteção da propriedade e posses deixadas para trás é essencial para a obtenção de soluções duradouras.</w:t>
            </w:r>
            <w:r>
              <w:rPr>
                <w:sz w:val="21"/>
              </w:rPr>
              <w:t xml:space="preserve"> </w:t>
            </w:r>
            <w:r>
              <w:rPr>
                <w:sz w:val="21"/>
              </w:rPr>
              <w:t xml:space="preserve">As PDI cujas posses foram destruídas ou danificadas durante a sua deslocação têm o direito de exigir uma compensação e ajuda na reconstrução.</w:t>
            </w:r>
          </w:p>
        </w:tc>
      </w:tr>
      <w:tr w:rsidR="00583ADF">
        <w:trPr>
          <w:trHeight w:val="2071"/>
        </w:trPr>
        <w:tc>
          <w:tcPr>
            <w:tcW w:w="3938" w:type="dxa"/>
            <w:tcBorders>
              <w:top w:val="single" w:sz="24" w:space="0" w:color="FFFFFF"/>
              <w:left w:val="nil"/>
            </w:tcBorders>
            <w:shd w:val="clear" w:color="auto" w:fill="F2F2F2"/>
          </w:tcPr>
          <w:p w:rsidR="00583ADF" w:rsidRDefault="00741A82">
            <w:pPr>
              <w:pStyle w:val="TableParagraph"/>
              <w:spacing w:before="202" w:line="247" w:lineRule="auto"/>
              <w:ind w:left="107" w:right="95"/>
              <w:rPr>
                <w:sz w:val="21"/>
              </w:rPr>
            </w:pPr>
            <w:r>
              <w:rPr>
                <w:sz w:val="21"/>
              </w:rPr>
              <w:t xml:space="preserve">Direito à liberdade de expressão e acesso à informação</w:t>
            </w:r>
          </w:p>
        </w:tc>
        <w:tc>
          <w:tcPr>
            <w:tcW w:w="5529" w:type="dxa"/>
            <w:tcBorders>
              <w:top w:val="single" w:sz="24" w:space="0" w:color="FFFFFF"/>
            </w:tcBorders>
            <w:shd w:val="clear" w:color="auto" w:fill="F2F2F2"/>
          </w:tcPr>
          <w:p w:rsidR="00583ADF" w:rsidRDefault="00741A82">
            <w:pPr>
              <w:pStyle w:val="TableParagraph"/>
              <w:spacing w:before="202" w:line="249" w:lineRule="auto"/>
              <w:rPr>
                <w:sz w:val="21"/>
              </w:rPr>
            </w:pPr>
            <w:r>
              <w:rPr>
                <w:sz w:val="21"/>
              </w:rPr>
              <w:t xml:space="preserve">É essencial que as PDI possam expressar-se e as suas necessidades, e solicitar proteção e assistência.</w:t>
            </w:r>
            <w:r>
              <w:rPr>
                <w:sz w:val="21"/>
              </w:rPr>
              <w:t xml:space="preserve"> </w:t>
            </w:r>
            <w:r>
              <w:rPr>
                <w:sz w:val="21"/>
              </w:rPr>
              <w:t xml:space="preserve">Também têm o direito de ser informadas sobre qualquer decisão que afete a sua vida e participar no planeamento e implementação de programas de proteção e assistência.</w:t>
            </w:r>
            <w:r>
              <w:rPr>
                <w:sz w:val="21"/>
              </w:rPr>
              <w:t xml:space="preserve"> </w:t>
            </w:r>
            <w:r>
              <w:rPr>
                <w:sz w:val="21"/>
              </w:rPr>
              <w:t xml:space="preserve">O acesso à informação e a participação fazem parte das</w:t>
            </w:r>
          </w:p>
          <w:p w:rsidR="00583ADF" w:rsidRDefault="00741A82">
            <w:pPr>
              <w:pStyle w:val="TableParagraph"/>
              <w:spacing w:before="8" w:line="241" w:lineRule="exact"/>
              <w:rPr>
                <w:sz w:val="21"/>
              </w:rPr>
            </w:pPr>
            <w:r>
              <w:rPr>
                <w:sz w:val="21"/>
              </w:rPr>
              <w:t xml:space="preserve">obrigações da responsabilidade do estado.</w:t>
            </w:r>
          </w:p>
        </w:tc>
      </w:tr>
      <w:tr w:rsidR="00583ADF">
        <w:trPr>
          <w:trHeight w:val="1477"/>
        </w:trPr>
        <w:tc>
          <w:tcPr>
            <w:tcW w:w="3938" w:type="dxa"/>
            <w:tcBorders>
              <w:left w:val="nil"/>
              <w:bottom w:val="nil"/>
            </w:tcBorders>
            <w:shd w:val="clear" w:color="auto" w:fill="F2F2F2"/>
          </w:tcPr>
          <w:p w:rsidR="00583ADF" w:rsidRDefault="00741A82">
            <w:pPr>
              <w:pStyle w:val="TableParagraph"/>
              <w:spacing w:line="252" w:lineRule="auto"/>
              <w:ind w:left="107" w:right="60"/>
              <w:rPr>
                <w:sz w:val="21"/>
              </w:rPr>
            </w:pPr>
            <w:r>
              <w:rPr>
                <w:sz w:val="21"/>
              </w:rPr>
              <w:t xml:space="preserve">Direitos participativos, incluindo o direito ao voto (artigo 33 da constituição afegã)</w:t>
            </w:r>
          </w:p>
        </w:tc>
        <w:tc>
          <w:tcPr>
            <w:tcW w:w="5529" w:type="dxa"/>
            <w:tcBorders>
              <w:bottom w:val="nil"/>
            </w:tcBorders>
            <w:shd w:val="clear" w:color="auto" w:fill="F2F2F2"/>
          </w:tcPr>
          <w:p w:rsidR="00583ADF" w:rsidRDefault="00741A82">
            <w:pPr>
              <w:pStyle w:val="TableParagraph"/>
              <w:spacing w:line="252" w:lineRule="auto"/>
              <w:ind w:right="282"/>
              <w:rPr>
                <w:sz w:val="21"/>
              </w:rPr>
            </w:pPr>
            <w:r>
              <w:rPr>
                <w:sz w:val="21"/>
              </w:rPr>
              <w:t xml:space="preserve">As deslocações internas não devem privar os cidadãos do exercício do seu direito de voto.</w:t>
            </w:r>
            <w:r>
              <w:rPr>
                <w:sz w:val="21"/>
              </w:rPr>
              <w:t xml:space="preserve"> </w:t>
            </w:r>
            <w:r>
              <w:rPr>
                <w:sz w:val="21"/>
              </w:rPr>
              <w:t xml:space="preserve">Isto pode implicar alterações na lei eleitoral para permitir às PDI votar no seu local de deslocação.</w:t>
            </w:r>
          </w:p>
        </w:tc>
      </w:tr>
    </w:tbl>
    <w:p w:rsidR="00583ADF" w:rsidRDefault="00741A82">
      <w:pPr>
        <w:pStyle w:val="Corpsdetexte"/>
        <w:rPr>
          <w:sz w:val="20"/>
        </w:rPr>
      </w:pPr>
      <w:r>
        <w:pict>
          <v:group id="_x0000_s1026" style="position:absolute;margin-left:66.35pt;margin-top:360.35pt;width:462.25pt;height:21.4pt;z-index:15729664;mso-position-horizontal-relative:page;mso-position-vertical-relative:page" coordorigin="1327,7207" coordsize="9245,428">
            <v:shape id="_x0000_s1028" style="position:absolute;left:1327;top:7207;width:9245;height:428" coordorigin="1327,7207" coordsize="9245,428" path="m10572,7207r-58,l1385,7207r-58,l1327,7265r,312l1327,7634r58,l10514,7634r58,l10572,7577r,-312l10572,7207xe" fillcolor="#deeaf6" stroked="f">
              <v:path arrowok="t"/>
            </v:shape>
            <v:shape id="_x0000_s1027" type="#_x0000_t202" style="position:absolute;left:1327;top:7207;width:9245;height:428" filled="f" stroked="f">
              <v:textbox inset="0,0,0,0">
                <w:txbxContent>
                  <w:p w:rsidR="00583ADF" w:rsidRDefault="00741A82">
                    <w:pPr>
                      <w:spacing w:before="73"/>
                      <w:ind w:left="86"/>
                      <w:rPr>
                        <w:sz w:val="21"/>
                      </w:rPr>
                    </w:pPr>
                    <w:r>
                      <w:rPr>
                        <w:sz w:val="21"/>
                      </w:rPr>
                      <w:t xml:space="preserve">FUNÇÕES E RESPONSABILIDADES INSTITUCIONAIS</w:t>
                    </w:r>
                  </w:p>
                </w:txbxContent>
              </v:textbox>
            </v:shape>
            <w10:wrap anchorx="page" anchory="page"/>
          </v:group>
        </w:pict>
      </w:r>
    </w:p>
    <w:p w:rsidR="00583ADF" w:rsidRDefault="00583ADF">
      <w:pPr>
        <w:pStyle w:val="Corpsdetexte"/>
        <w:rPr>
          <w:sz w:val="20"/>
        </w:rPr>
      </w:pPr>
    </w:p>
    <w:p w:rsidR="00583ADF" w:rsidRDefault="00583ADF">
      <w:pPr>
        <w:pStyle w:val="Corpsdetexte"/>
        <w:spacing w:before="3"/>
        <w:rPr>
          <w:sz w:val="13"/>
        </w:rPr>
      </w:pPr>
    </w:p>
    <w:tbl>
      <w:tblPr>
        <w:tblStyle w:val="TableNormal"/>
        <w:tblW w:w="0" w:type="auto"/>
        <w:tblInd w:w="11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492"/>
        <w:gridCol w:w="2976"/>
      </w:tblGrid>
      <w:tr w:rsidR="00583ADF">
        <w:trPr>
          <w:trHeight w:val="1735"/>
        </w:trPr>
        <w:tc>
          <w:tcPr>
            <w:tcW w:w="6492" w:type="dxa"/>
            <w:tcBorders>
              <w:left w:val="nil"/>
              <w:bottom w:val="single" w:sz="24" w:space="0" w:color="FFFFFF"/>
            </w:tcBorders>
            <w:shd w:val="clear" w:color="auto" w:fill="F2F2F2"/>
          </w:tcPr>
          <w:p w:rsidR="00583ADF" w:rsidRDefault="00741A82">
            <w:pPr>
              <w:pStyle w:val="TableParagraph"/>
              <w:spacing w:line="252" w:lineRule="auto"/>
              <w:ind w:left="107"/>
              <w:rPr>
                <w:sz w:val="21"/>
              </w:rPr>
            </w:pPr>
            <w:r>
              <w:rPr>
                <w:sz w:val="21"/>
              </w:rPr>
              <w:t xml:space="preserve">Cabe ao governo, aos níveis provincial, municipal e nacional, a responsabilidade primária de proteção e assistência a todas as PDI e comunidades afetadas pela deslocação, assegurando a sua inclusão em programas de prioridade nacional.</w:t>
            </w:r>
          </w:p>
        </w:tc>
        <w:tc>
          <w:tcPr>
            <w:tcW w:w="2976" w:type="dxa"/>
            <w:tcBorders>
              <w:bottom w:val="single" w:sz="24" w:space="0" w:color="FFFFFF"/>
            </w:tcBorders>
            <w:shd w:val="clear" w:color="auto" w:fill="F2F2F2"/>
          </w:tcPr>
          <w:p w:rsidR="00583ADF" w:rsidRDefault="00741A82">
            <w:pPr>
              <w:pStyle w:val="TableParagraph"/>
              <w:spacing w:line="252" w:lineRule="auto"/>
              <w:ind w:left="111" w:right="73"/>
              <w:rPr>
                <w:sz w:val="21"/>
              </w:rPr>
            </w:pPr>
            <w:r>
              <w:rPr>
                <w:sz w:val="21"/>
              </w:rPr>
              <w:t xml:space="preserve">Responsabilidade nacional de responder à deslocação interna a todos os níveis.</w:t>
            </w:r>
          </w:p>
        </w:tc>
      </w:tr>
      <w:tr w:rsidR="00583ADF">
        <w:trPr>
          <w:trHeight w:val="2273"/>
        </w:trPr>
        <w:tc>
          <w:tcPr>
            <w:tcW w:w="6492" w:type="dxa"/>
            <w:tcBorders>
              <w:top w:val="single" w:sz="24" w:space="0" w:color="FFFFFF"/>
              <w:left w:val="nil"/>
            </w:tcBorders>
            <w:shd w:val="clear" w:color="auto" w:fill="F2F2F2"/>
          </w:tcPr>
          <w:p w:rsidR="00583ADF" w:rsidRDefault="00741A82">
            <w:pPr>
              <w:pStyle w:val="TableParagraph"/>
              <w:spacing w:before="202" w:line="249" w:lineRule="auto"/>
              <w:ind w:left="107" w:right="79"/>
              <w:rPr>
                <w:sz w:val="21"/>
              </w:rPr>
            </w:pPr>
            <w:r>
              <w:rPr>
                <w:sz w:val="21"/>
              </w:rPr>
              <w:t xml:space="preserve">O Ministério de Refugiados e Repatriação (MdRR) é o ponto focal institucional incumbido de desenvolver um plano de implementação nacional e coordenar a implementação da política junto dos ministérios, Autoridade Afegã para a Gestão de Desastres Nacionais (AAGDN), autoridades provinciais e municipais, PDIs e comunidades afetadas, da sociedade civil, ONU e outras organizações internacionais.</w:t>
            </w:r>
          </w:p>
        </w:tc>
        <w:tc>
          <w:tcPr>
            <w:tcW w:w="2976" w:type="dxa"/>
            <w:tcBorders>
              <w:top w:val="single" w:sz="24" w:space="0" w:color="FFFFFF"/>
            </w:tcBorders>
            <w:shd w:val="clear" w:color="auto" w:fill="F2F2F2"/>
          </w:tcPr>
          <w:p w:rsidR="00583ADF" w:rsidRDefault="00741A82">
            <w:pPr>
              <w:pStyle w:val="TableParagraph"/>
              <w:spacing w:before="202" w:line="249" w:lineRule="auto"/>
              <w:ind w:left="111" w:right="73"/>
              <w:rPr>
                <w:sz w:val="21"/>
              </w:rPr>
            </w:pPr>
            <w:r>
              <w:rPr>
                <w:sz w:val="21"/>
              </w:rPr>
              <w:t xml:space="preserve">Ponto focal nacional para a implementação da política em consulta com outros intervenientes, incluindo as PDI.</w:t>
            </w:r>
          </w:p>
        </w:tc>
      </w:tr>
      <w:tr w:rsidR="00583ADF">
        <w:trPr>
          <w:trHeight w:val="2815"/>
        </w:trPr>
        <w:tc>
          <w:tcPr>
            <w:tcW w:w="6492" w:type="dxa"/>
            <w:tcBorders>
              <w:left w:val="nil"/>
            </w:tcBorders>
            <w:shd w:val="clear" w:color="auto" w:fill="F2F2F2"/>
          </w:tcPr>
          <w:p w:rsidR="00583ADF" w:rsidRDefault="00741A82">
            <w:pPr>
              <w:pStyle w:val="TableParagraph"/>
              <w:spacing w:line="252" w:lineRule="auto"/>
              <w:ind w:left="107" w:right="79"/>
              <w:rPr>
                <w:sz w:val="21"/>
              </w:rPr>
            </w:pPr>
            <w:r>
              <w:rPr>
                <w:sz w:val="21"/>
              </w:rPr>
              <w:t xml:space="preserve">Organismos de implementação: os ministérios de execução com responsabilidades setoriais incluem o Ministério do Interior, Ministério da Saúde Pública, Ministério da Economia, Ministério de Assuntos de Desenvolvimento Urbano, Ministério da Reabilitação e Desenvolvimento Rural, Ministério da Mulher, Ministério da Defesa e outros gabinetes governamentais, tais como a Direção Independente para a Governação Local que é responsável por assegurar que os governadores provinciais cumprem as suas responsabilidades e pela coordenação com o MdRR.</w:t>
            </w:r>
          </w:p>
        </w:tc>
        <w:tc>
          <w:tcPr>
            <w:tcW w:w="2976" w:type="dxa"/>
            <w:shd w:val="clear" w:color="auto" w:fill="F2F2F2"/>
          </w:tcPr>
          <w:p w:rsidR="00583ADF" w:rsidRDefault="00741A82">
            <w:pPr>
              <w:pStyle w:val="TableParagraph"/>
              <w:spacing w:line="252" w:lineRule="auto"/>
              <w:ind w:left="111" w:right="73"/>
              <w:rPr>
                <w:sz w:val="21"/>
              </w:rPr>
            </w:pPr>
            <w:r>
              <w:rPr>
                <w:sz w:val="21"/>
              </w:rPr>
              <w:t xml:space="preserve">Envolvimento de todos os principais ministérios para assegurar uma resposta abrangente.</w:t>
            </w:r>
          </w:p>
        </w:tc>
      </w:tr>
      <w:tr w:rsidR="00583ADF">
        <w:trPr>
          <w:trHeight w:val="469"/>
        </w:trPr>
        <w:tc>
          <w:tcPr>
            <w:tcW w:w="6492" w:type="dxa"/>
            <w:tcBorders>
              <w:left w:val="nil"/>
              <w:bottom w:val="nil"/>
            </w:tcBorders>
            <w:shd w:val="clear" w:color="auto" w:fill="F2F2F2"/>
          </w:tcPr>
          <w:p w:rsidR="00583ADF" w:rsidRDefault="00741A82">
            <w:pPr>
              <w:pStyle w:val="TableParagraph"/>
              <w:spacing w:line="242" w:lineRule="exact"/>
              <w:ind w:left="107"/>
              <w:rPr>
                <w:sz w:val="21"/>
              </w:rPr>
            </w:pPr>
            <w:r>
              <w:rPr>
                <w:sz w:val="21"/>
              </w:rPr>
              <w:t xml:space="preserve">Organismos de coordenação: o comité de coordenação interministerial sobre</w:t>
            </w:r>
          </w:p>
        </w:tc>
        <w:tc>
          <w:tcPr>
            <w:tcW w:w="2976" w:type="dxa"/>
            <w:tcBorders>
              <w:bottom w:val="nil"/>
            </w:tcBorders>
            <w:shd w:val="clear" w:color="auto" w:fill="F2F2F2"/>
          </w:tcPr>
          <w:p w:rsidR="00583ADF" w:rsidRDefault="00741A82">
            <w:pPr>
              <w:pStyle w:val="TableParagraph"/>
              <w:spacing w:line="242" w:lineRule="exact"/>
              <w:ind w:left="111"/>
              <w:rPr>
                <w:sz w:val="21"/>
              </w:rPr>
            </w:pPr>
            <w:r>
              <w:rPr>
                <w:sz w:val="21"/>
              </w:rPr>
              <w:t xml:space="preserve">Mecanismos de coordenação.</w:t>
            </w:r>
          </w:p>
        </w:tc>
      </w:tr>
    </w:tbl>
    <w:p w:rsidR="00583ADF" w:rsidRDefault="00583ADF">
      <w:pPr>
        <w:spacing w:line="242" w:lineRule="exact"/>
        <w:rPr>
          <w:sz w:val="21"/>
        </w:rPr>
        <w:sectPr w:rsidR="00583ADF">
          <w:pgSz w:w="11900" w:h="16820"/>
          <w:pgMar w:top="1460" w:right="960" w:bottom="280" w:left="1200" w:header="708" w:footer="708" w:gutter="0"/>
          <w:cols w:space="708"/>
        </w:sectPr>
      </w:pPr>
    </w:p>
    <w:tbl>
      <w:tblPr>
        <w:tblStyle w:val="TableNormal"/>
        <w:tblW w:w="0" w:type="auto"/>
        <w:tblInd w:w="11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492"/>
        <w:gridCol w:w="2976"/>
      </w:tblGrid>
      <w:tr w:rsidR="00583ADF">
        <w:trPr>
          <w:trHeight w:val="1002"/>
        </w:trPr>
        <w:tc>
          <w:tcPr>
            <w:tcW w:w="6492" w:type="dxa"/>
            <w:tcBorders>
              <w:top w:val="nil"/>
              <w:left w:val="nil"/>
            </w:tcBorders>
            <w:shd w:val="clear" w:color="auto" w:fill="F2F2F2"/>
          </w:tcPr>
          <w:p w:rsidR="00583ADF" w:rsidRDefault="00741A82">
            <w:pPr>
              <w:pStyle w:val="TableParagraph"/>
              <w:spacing w:before="6" w:line="252" w:lineRule="auto"/>
              <w:ind w:left="107"/>
              <w:rPr>
                <w:sz w:val="21"/>
              </w:rPr>
            </w:pPr>
            <w:r>
              <w:rPr>
                <w:sz w:val="21"/>
              </w:rPr>
              <w:t xml:space="preserve">os refugiados, os retornados e as PDI (IDMCC), a AAGDN e o alto comissariado nacional para a gestão de catástrofes nacionais (CNGC).</w:t>
            </w:r>
          </w:p>
        </w:tc>
        <w:tc>
          <w:tcPr>
            <w:tcW w:w="2976" w:type="dxa"/>
            <w:tcBorders>
              <w:top w:val="nil"/>
            </w:tcBorders>
            <w:shd w:val="clear" w:color="auto" w:fill="F2F2F2"/>
          </w:tcPr>
          <w:p w:rsidR="00583ADF" w:rsidRDefault="00583ADF">
            <w:pPr>
              <w:pStyle w:val="TableParagraph"/>
              <w:spacing w:before="0"/>
              <w:ind w:left="0"/>
              <w:rPr>
                <w:rFonts w:ascii="Times New Roman"/>
                <w:sz w:val="20"/>
              </w:rPr>
            </w:pPr>
          </w:p>
        </w:tc>
      </w:tr>
      <w:tr w:rsidR="00583ADF">
        <w:trPr>
          <w:trHeight w:val="5359"/>
        </w:trPr>
        <w:tc>
          <w:tcPr>
            <w:tcW w:w="6492" w:type="dxa"/>
            <w:tcBorders>
              <w:left w:val="nil"/>
              <w:bottom w:val="single" w:sz="24" w:space="0" w:color="FFFFFF"/>
            </w:tcBorders>
            <w:shd w:val="clear" w:color="auto" w:fill="F2F2F2"/>
          </w:tcPr>
          <w:p w:rsidR="00583ADF" w:rsidRDefault="00741A82">
            <w:pPr>
              <w:pStyle w:val="TableParagraph"/>
              <w:spacing w:line="252" w:lineRule="auto"/>
              <w:ind w:left="107"/>
              <w:rPr>
                <w:sz w:val="21"/>
              </w:rPr>
            </w:pPr>
            <w:r>
              <w:rPr>
                <w:sz w:val="21"/>
              </w:rPr>
              <w:t xml:space="preserve">As autoridades provinciais e outras autoridades locais são responsáveis pela resposta de emergência e por desenvolver planos de ação provinciais para responder às deslocações, incluindo uma estratégia de financiamento para a mobilização de recursos, e ainda por assegurar que os esquemas de atribuição de terras são justos, transparentes e sustentáveis.</w:t>
            </w:r>
          </w:p>
          <w:p w:rsidR="00583ADF" w:rsidRDefault="00741A82">
            <w:pPr>
              <w:pStyle w:val="TableParagraph"/>
              <w:spacing w:before="200" w:line="249" w:lineRule="auto"/>
              <w:ind w:left="107" w:right="84"/>
              <w:rPr>
                <w:sz w:val="21"/>
              </w:rPr>
            </w:pPr>
            <w:r>
              <w:rPr>
                <w:sz w:val="21"/>
              </w:rPr>
              <w:t xml:space="preserve">Os governadores distritais e presidentes de câmara e freguesias são lembrados da sua responsabilidade de integrar as PDI nos seus planos de desenvolvimento, garantir que têm acesso aos serviços e, nos casos em que são criadas instalações informais, considerar estratégias para as formalizar e melhorar as condições de vida.</w:t>
            </w:r>
            <w:r>
              <w:rPr>
                <w:sz w:val="21"/>
              </w:rPr>
              <w:t xml:space="preserve"> </w:t>
            </w:r>
            <w:r>
              <w:rPr>
                <w:sz w:val="21"/>
              </w:rPr>
              <w:t xml:space="preserve">Devem assegurar que as PDI não são alvo de despejo forçado.</w:t>
            </w:r>
          </w:p>
          <w:p w:rsidR="00583ADF" w:rsidRDefault="00741A82">
            <w:pPr>
              <w:pStyle w:val="TableParagraph"/>
              <w:spacing w:before="210" w:line="252" w:lineRule="auto"/>
              <w:ind w:left="107" w:right="79"/>
              <w:rPr>
                <w:sz w:val="21"/>
              </w:rPr>
            </w:pPr>
            <w:r>
              <w:rPr>
                <w:sz w:val="21"/>
              </w:rPr>
              <w:t xml:space="preserve">Todos os intervenientes do governo garantirão que as ações são integradas nos orçamentos anuais para responder às necessidades de proteção e assistência da população deslocada e das comunidades afetadas afins, e facilitar a obtenção de soluções duradouras.</w:t>
            </w:r>
            <w:r>
              <w:rPr>
                <w:sz w:val="21"/>
              </w:rPr>
              <w:t xml:space="preserve"> </w:t>
            </w:r>
            <w:r>
              <w:rPr>
                <w:sz w:val="21"/>
              </w:rPr>
              <w:t xml:space="preserve">Neste sentido, a comunidade internacional pode contribuir para os esforços do governo.</w:t>
            </w:r>
          </w:p>
        </w:tc>
        <w:tc>
          <w:tcPr>
            <w:tcW w:w="2976" w:type="dxa"/>
            <w:tcBorders>
              <w:bottom w:val="single" w:sz="24" w:space="0" w:color="FFFFFF"/>
            </w:tcBorders>
            <w:shd w:val="clear" w:color="auto" w:fill="F2F2F2"/>
          </w:tcPr>
          <w:p w:rsidR="00583ADF" w:rsidRDefault="00741A82">
            <w:pPr>
              <w:pStyle w:val="TableParagraph"/>
              <w:spacing w:line="252" w:lineRule="auto"/>
              <w:ind w:left="111" w:right="73"/>
              <w:rPr>
                <w:sz w:val="21"/>
              </w:rPr>
            </w:pPr>
            <w:r>
              <w:rPr>
                <w:sz w:val="21"/>
              </w:rPr>
              <w:t xml:space="preserve">Plano de implementação ao nível local</w:t>
            </w:r>
          </w:p>
        </w:tc>
      </w:tr>
      <w:tr w:rsidR="00583ADF">
        <w:trPr>
          <w:trHeight w:val="2005"/>
        </w:trPr>
        <w:tc>
          <w:tcPr>
            <w:tcW w:w="6492" w:type="dxa"/>
            <w:tcBorders>
              <w:top w:val="single" w:sz="24" w:space="0" w:color="FFFFFF"/>
              <w:left w:val="nil"/>
              <w:bottom w:val="nil"/>
            </w:tcBorders>
            <w:shd w:val="clear" w:color="auto" w:fill="F2F2F2"/>
          </w:tcPr>
          <w:p w:rsidR="00583ADF" w:rsidRDefault="00741A82">
            <w:pPr>
              <w:pStyle w:val="TableParagraph"/>
              <w:spacing w:before="202" w:line="249" w:lineRule="auto"/>
              <w:ind w:left="107" w:right="83"/>
              <w:rPr>
                <w:sz w:val="21"/>
              </w:rPr>
            </w:pPr>
            <w:r>
              <w:rPr>
                <w:sz w:val="21"/>
              </w:rPr>
              <w:t xml:space="preserve">A Comissão Independente de Direitos Humanos do Afeganistão (CIDHA), em conjunto com o gabinete administrativo do presidente e com o MdRR, está mandatada para monitorizar o respeito pelos direitos humanos das PDI, monitorizar e avaliar a implementação da política e apresentar relatórios sobre a medida em que os direitos das PDI são protegidos e respeitados.</w:t>
            </w:r>
          </w:p>
        </w:tc>
        <w:tc>
          <w:tcPr>
            <w:tcW w:w="2976" w:type="dxa"/>
            <w:tcBorders>
              <w:top w:val="single" w:sz="24" w:space="0" w:color="FFFFFF"/>
              <w:bottom w:val="nil"/>
            </w:tcBorders>
            <w:shd w:val="clear" w:color="auto" w:fill="F2F2F2"/>
          </w:tcPr>
          <w:p w:rsidR="00583ADF" w:rsidRDefault="00741A82">
            <w:pPr>
              <w:pStyle w:val="TableParagraph"/>
              <w:spacing w:before="202" w:line="247" w:lineRule="auto"/>
              <w:ind w:left="111"/>
              <w:rPr>
                <w:sz w:val="21"/>
              </w:rPr>
            </w:pPr>
            <w:r>
              <w:rPr>
                <w:sz w:val="21"/>
              </w:rPr>
              <w:t xml:space="preserve">Monitorizar a implementação da política.</w:t>
            </w:r>
          </w:p>
        </w:tc>
      </w:tr>
    </w:tbl>
    <w:p w:rsidR="00583ADF" w:rsidRDefault="00583ADF">
      <w:pPr>
        <w:pStyle w:val="Corpsdetexte"/>
        <w:spacing w:before="8"/>
        <w:rPr>
          <w:sz w:val="15"/>
        </w:rPr>
      </w:pPr>
    </w:p>
    <w:p w:rsidR="00583ADF" w:rsidRDefault="00741A82">
      <w:pPr>
        <w:tabs>
          <w:tab w:val="left" w:pos="9371"/>
        </w:tabs>
        <w:spacing w:before="105"/>
        <w:ind w:left="127"/>
        <w:rPr>
          <w:b/>
          <w:sz w:val="21"/>
        </w:rPr>
      </w:pPr>
      <w:r>
        <w:rPr>
          <w:color w:val="FFFFFF"/>
          <w:sz w:val="21"/>
          <w:shd w:val="clear" w:color="auto" w:fill="5B9BD5"/>
          <w:rFonts w:ascii="Times New Roman"/>
        </w:rPr>
        <w:t xml:space="preserve">  </w:t>
      </w:r>
      <w:r>
        <w:rPr>
          <w:color w:val="FFFFFF"/>
          <w:sz w:val="21"/>
          <w:shd w:val="clear" w:color="auto" w:fill="5B9BD5"/>
          <w:b/>
        </w:rPr>
        <w:t xml:space="preserve">ÍNDICE</w:t>
      </w:r>
      <w:r>
        <w:rPr>
          <w:color w:val="FFFFFF"/>
          <w:sz w:val="21"/>
          <w:shd w:val="clear" w:color="auto" w:fill="5B9BD5"/>
          <w:b/>
        </w:rPr>
        <w:tab/>
      </w:r>
    </w:p>
    <w:p w:rsidR="00583ADF" w:rsidRDefault="00583ADF">
      <w:pPr>
        <w:pStyle w:val="Corpsdetexte"/>
        <w:spacing w:before="4"/>
        <w:rPr>
          <w:b/>
          <w:sz w:val="16"/>
        </w:rPr>
      </w:pPr>
    </w:p>
    <w:p w:rsidR="00583ADF" w:rsidRDefault="00741A82">
      <w:pPr>
        <w:pStyle w:val="Corpsdetexte"/>
        <w:spacing w:before="106" w:line="252" w:lineRule="auto"/>
        <w:ind w:left="213" w:right="501"/>
      </w:pPr>
      <w:r>
        <w:t xml:space="preserve">O seguinte excerto foi retirado das páginas 2e 3 da política nacional sobre as PDI do Afeganistão e está disponível em </w:t>
      </w:r>
      <w:hyperlink r:id="rId12">
        <w:r>
          <w:rPr>
            <w:color w:val="0563C1"/>
            <w:u w:val="single" w:color="0563C1"/>
          </w:rPr>
          <w:t xml:space="preserve">http://goo.gl/p1lxHO</w:t>
        </w:r>
      </w:hyperlink>
      <w:r>
        <w:t xml:space="preserve">.</w:t>
      </w:r>
    </w:p>
    <w:p w:rsidR="00583ADF" w:rsidRDefault="00741A82">
      <w:pPr>
        <w:pStyle w:val="Titre2"/>
        <w:numPr>
          <w:ilvl w:val="0"/>
          <w:numId w:val="1"/>
        </w:numPr>
        <w:tabs>
          <w:tab w:val="left" w:pos="934"/>
        </w:tabs>
        <w:spacing w:before="201"/>
        <w:ind w:hanging="361"/>
        <w:jc w:val="left"/>
      </w:pPr>
      <w:r>
        <w:rPr>
          <w:color w:val="2E74B5"/>
        </w:rPr>
        <w:t xml:space="preserve">Introdução</w:t>
      </w:r>
    </w:p>
    <w:p w:rsidR="00583ADF" w:rsidRDefault="00741A82">
      <w:pPr>
        <w:pStyle w:val="Paragraphedeliste"/>
        <w:numPr>
          <w:ilvl w:val="1"/>
          <w:numId w:val="1"/>
        </w:numPr>
        <w:tabs>
          <w:tab w:val="left" w:pos="1250"/>
        </w:tabs>
        <w:spacing w:before="210"/>
        <w:rPr>
          <w:sz w:val="21"/>
        </w:rPr>
      </w:pPr>
      <w:r>
        <w:rPr>
          <w:sz w:val="21"/>
        </w:rPr>
        <w:t xml:space="preserve">Contexto e processo</w:t>
      </w:r>
    </w:p>
    <w:p w:rsidR="00583ADF" w:rsidRDefault="00741A82">
      <w:pPr>
        <w:pStyle w:val="Paragraphedeliste"/>
        <w:numPr>
          <w:ilvl w:val="1"/>
          <w:numId w:val="1"/>
        </w:numPr>
        <w:tabs>
          <w:tab w:val="left" w:pos="1251"/>
        </w:tabs>
        <w:spacing w:before="214"/>
        <w:ind w:left="1250" w:hanging="330"/>
        <w:rPr>
          <w:sz w:val="21"/>
        </w:rPr>
      </w:pPr>
      <w:r>
        <w:rPr>
          <w:sz w:val="21"/>
        </w:rPr>
        <w:t xml:space="preserve">Acrónimos</w:t>
      </w:r>
    </w:p>
    <w:p w:rsidR="00583ADF" w:rsidRDefault="00741A82">
      <w:pPr>
        <w:pStyle w:val="Paragraphedeliste"/>
        <w:numPr>
          <w:ilvl w:val="1"/>
          <w:numId w:val="1"/>
        </w:numPr>
        <w:tabs>
          <w:tab w:val="left" w:pos="1251"/>
        </w:tabs>
        <w:spacing w:before="209"/>
        <w:ind w:left="1250" w:hanging="330"/>
        <w:rPr>
          <w:sz w:val="21"/>
        </w:rPr>
      </w:pPr>
      <w:r>
        <w:rPr>
          <w:sz w:val="21"/>
        </w:rPr>
        <w:t xml:space="preserve">Definição de termos</w:t>
      </w:r>
    </w:p>
    <w:p w:rsidR="00583ADF" w:rsidRDefault="00741A82">
      <w:pPr>
        <w:pStyle w:val="Paragraphedeliste"/>
        <w:numPr>
          <w:ilvl w:val="1"/>
          <w:numId w:val="1"/>
        </w:numPr>
        <w:tabs>
          <w:tab w:val="left" w:pos="1251"/>
        </w:tabs>
        <w:spacing w:before="214"/>
        <w:ind w:left="1250" w:hanging="330"/>
        <w:rPr>
          <w:sz w:val="21"/>
        </w:rPr>
      </w:pPr>
      <w:r>
        <w:rPr>
          <w:sz w:val="21"/>
        </w:rPr>
        <w:t xml:space="preserve">Contexto e características da deslocação interna no Afeganistão</w:t>
      </w:r>
    </w:p>
    <w:p w:rsidR="00583ADF" w:rsidRDefault="00583ADF">
      <w:pPr>
        <w:pStyle w:val="Corpsdetexte"/>
        <w:rPr>
          <w:sz w:val="26"/>
        </w:rPr>
      </w:pPr>
    </w:p>
    <w:p w:rsidR="00583ADF" w:rsidRDefault="00583ADF">
      <w:pPr>
        <w:pStyle w:val="Corpsdetexte"/>
        <w:spacing w:before="8"/>
        <w:rPr>
          <w:sz w:val="29"/>
        </w:rPr>
      </w:pPr>
    </w:p>
    <w:p w:rsidR="00583ADF" w:rsidRDefault="00741A82">
      <w:pPr>
        <w:pStyle w:val="Titre2"/>
        <w:numPr>
          <w:ilvl w:val="0"/>
          <w:numId w:val="1"/>
        </w:numPr>
        <w:tabs>
          <w:tab w:val="left" w:pos="934"/>
        </w:tabs>
        <w:ind w:hanging="361"/>
        <w:jc w:val="left"/>
      </w:pPr>
      <w:r>
        <w:rPr>
          <w:color w:val="2E74B5"/>
        </w:rPr>
        <w:t xml:space="preserve">Objetivo, quadro político e princípios</w:t>
      </w:r>
    </w:p>
    <w:p w:rsidR="00583ADF" w:rsidRDefault="00741A82">
      <w:pPr>
        <w:pStyle w:val="Paragraphedeliste"/>
        <w:numPr>
          <w:ilvl w:val="1"/>
          <w:numId w:val="1"/>
        </w:numPr>
        <w:tabs>
          <w:tab w:val="left" w:pos="1251"/>
        </w:tabs>
        <w:spacing w:before="214"/>
        <w:ind w:left="1250" w:hanging="330"/>
        <w:rPr>
          <w:sz w:val="21"/>
        </w:rPr>
      </w:pPr>
      <w:r>
        <w:rPr>
          <w:sz w:val="21"/>
        </w:rPr>
        <w:t xml:space="preserve">Objetivo</w:t>
      </w:r>
    </w:p>
    <w:p w:rsidR="00583ADF" w:rsidRDefault="00583ADF">
      <w:pPr>
        <w:rPr>
          <w:sz w:val="21"/>
        </w:rPr>
        <w:sectPr w:rsidR="00583ADF">
          <w:pgSz w:w="11900" w:h="16820"/>
          <w:pgMar w:top="1460" w:right="960" w:bottom="280" w:left="1200" w:header="708" w:footer="708" w:gutter="0"/>
          <w:cols w:space="708"/>
        </w:sectPr>
      </w:pPr>
    </w:p>
    <w:p w:rsidR="00583ADF" w:rsidRDefault="00741A82">
      <w:pPr>
        <w:pStyle w:val="Paragraphedeliste"/>
        <w:numPr>
          <w:ilvl w:val="1"/>
          <w:numId w:val="1"/>
        </w:numPr>
        <w:tabs>
          <w:tab w:val="left" w:pos="1251"/>
        </w:tabs>
        <w:spacing w:before="85"/>
        <w:ind w:left="1250" w:hanging="330"/>
        <w:rPr>
          <w:sz w:val="21"/>
        </w:rPr>
      </w:pPr>
      <w:r>
        <w:rPr>
          <w:sz w:val="21"/>
        </w:rPr>
        <w:t xml:space="preserve">Quadro político e princípios</w:t>
      </w:r>
    </w:p>
    <w:p w:rsidR="00583ADF" w:rsidRDefault="00741A82">
      <w:pPr>
        <w:pStyle w:val="Titre2"/>
        <w:numPr>
          <w:ilvl w:val="0"/>
          <w:numId w:val="1"/>
        </w:numPr>
        <w:tabs>
          <w:tab w:val="left" w:pos="934"/>
        </w:tabs>
        <w:spacing w:before="209"/>
        <w:ind w:right="6225" w:hanging="934"/>
      </w:pPr>
      <w:r>
        <w:rPr>
          <w:color w:val="2E74B5"/>
        </w:rPr>
        <w:t xml:space="preserve">Pessoas deslocadas internamente</w:t>
      </w:r>
    </w:p>
    <w:p w:rsidR="00583ADF" w:rsidRDefault="00741A82">
      <w:pPr>
        <w:pStyle w:val="Paragraphedeliste"/>
        <w:numPr>
          <w:ilvl w:val="1"/>
          <w:numId w:val="1"/>
        </w:numPr>
        <w:tabs>
          <w:tab w:val="left" w:pos="1251"/>
        </w:tabs>
        <w:spacing w:before="214"/>
        <w:ind w:left="1250" w:hanging="330"/>
        <w:rPr>
          <w:sz w:val="21"/>
        </w:rPr>
      </w:pPr>
      <w:r>
        <w:rPr>
          <w:sz w:val="21"/>
        </w:rPr>
        <w:t xml:space="preserve">Definição</w:t>
      </w:r>
    </w:p>
    <w:p w:rsidR="00583ADF" w:rsidRDefault="00741A82">
      <w:pPr>
        <w:pStyle w:val="Paragraphedeliste"/>
        <w:numPr>
          <w:ilvl w:val="1"/>
          <w:numId w:val="1"/>
        </w:numPr>
        <w:tabs>
          <w:tab w:val="left" w:pos="1251"/>
        </w:tabs>
        <w:spacing w:before="209"/>
        <w:ind w:left="1250" w:hanging="330"/>
        <w:rPr>
          <w:sz w:val="21"/>
        </w:rPr>
      </w:pPr>
      <w:r>
        <w:rPr>
          <w:sz w:val="21"/>
        </w:rPr>
        <w:t xml:space="preserve">Vulnerabilidades especiais das PDI</w:t>
      </w:r>
    </w:p>
    <w:p w:rsidR="00583ADF" w:rsidRDefault="00741A82">
      <w:pPr>
        <w:pStyle w:val="Paragraphedeliste"/>
        <w:numPr>
          <w:ilvl w:val="1"/>
          <w:numId w:val="1"/>
        </w:numPr>
        <w:tabs>
          <w:tab w:val="left" w:pos="1251"/>
        </w:tabs>
        <w:spacing w:before="214"/>
        <w:ind w:left="1250" w:hanging="330"/>
        <w:rPr>
          <w:sz w:val="21"/>
        </w:rPr>
      </w:pPr>
      <w:r>
        <w:rPr>
          <w:sz w:val="21"/>
        </w:rPr>
        <w:t xml:space="preserve">Identificação e registo de PDI</w:t>
      </w:r>
    </w:p>
    <w:p w:rsidR="00583ADF" w:rsidRDefault="00741A82">
      <w:pPr>
        <w:pStyle w:val="Paragraphedeliste"/>
        <w:numPr>
          <w:ilvl w:val="1"/>
          <w:numId w:val="1"/>
        </w:numPr>
        <w:tabs>
          <w:tab w:val="left" w:pos="1251"/>
        </w:tabs>
        <w:spacing w:before="209"/>
        <w:ind w:left="1250" w:right="6208" w:hanging="1251"/>
        <w:jc w:val="right"/>
        <w:rPr>
          <w:sz w:val="21"/>
        </w:rPr>
      </w:pPr>
      <w:r>
        <w:rPr>
          <w:sz w:val="21"/>
        </w:rPr>
        <w:t xml:space="preserve">Fim da deslocação</w:t>
      </w:r>
    </w:p>
    <w:p w:rsidR="00583ADF" w:rsidRDefault="00741A82">
      <w:pPr>
        <w:pStyle w:val="Titre2"/>
        <w:numPr>
          <w:ilvl w:val="0"/>
          <w:numId w:val="1"/>
        </w:numPr>
        <w:tabs>
          <w:tab w:val="left" w:pos="434"/>
        </w:tabs>
        <w:spacing w:before="214"/>
        <w:ind w:left="433" w:hanging="221"/>
        <w:jc w:val="left"/>
      </w:pPr>
      <w:r>
        <w:rPr>
          <w:color w:val="2E74B5"/>
        </w:rPr>
        <w:t xml:space="preserve">Funções e responsabilidades institucionais</w:t>
      </w:r>
    </w:p>
    <w:p w:rsidR="00583ADF" w:rsidRDefault="00741A82">
      <w:pPr>
        <w:pStyle w:val="Paragraphedeliste"/>
        <w:numPr>
          <w:ilvl w:val="1"/>
          <w:numId w:val="1"/>
        </w:numPr>
        <w:tabs>
          <w:tab w:val="left" w:pos="1251"/>
        </w:tabs>
        <w:spacing w:before="215"/>
        <w:ind w:left="1250" w:hanging="330"/>
        <w:rPr>
          <w:sz w:val="21"/>
        </w:rPr>
      </w:pPr>
      <w:r>
        <w:rPr>
          <w:sz w:val="21"/>
        </w:rPr>
        <w:t xml:space="preserve">Responsabilidade Primária do GdRIA</w:t>
      </w:r>
    </w:p>
    <w:p w:rsidR="00583ADF" w:rsidRDefault="00583ADF">
      <w:pPr>
        <w:pStyle w:val="Corpsdetexte"/>
        <w:spacing w:before="1"/>
        <w:rPr>
          <w:sz w:val="28"/>
        </w:rPr>
      </w:pPr>
    </w:p>
    <w:p w:rsidR="00583ADF" w:rsidRDefault="00741A82">
      <w:pPr>
        <w:pStyle w:val="Paragraphedeliste"/>
        <w:numPr>
          <w:ilvl w:val="1"/>
          <w:numId w:val="1"/>
        </w:numPr>
        <w:tabs>
          <w:tab w:val="left" w:pos="1251"/>
        </w:tabs>
        <w:ind w:left="1250" w:hanging="330"/>
        <w:rPr>
          <w:sz w:val="21"/>
        </w:rPr>
      </w:pPr>
      <w:r>
        <w:rPr>
          <w:sz w:val="21"/>
        </w:rPr>
        <w:t xml:space="preserve">Ministério de Refugiados e Repatriação (MdRR)</w:t>
      </w:r>
    </w:p>
    <w:p w:rsidR="00583ADF" w:rsidRDefault="00583ADF">
      <w:pPr>
        <w:pStyle w:val="Corpsdetexte"/>
        <w:spacing w:before="7"/>
        <w:rPr>
          <w:sz w:val="28"/>
        </w:rPr>
      </w:pPr>
    </w:p>
    <w:p w:rsidR="00583ADF" w:rsidRDefault="00741A82">
      <w:pPr>
        <w:pStyle w:val="Paragraphedeliste"/>
        <w:numPr>
          <w:ilvl w:val="1"/>
          <w:numId w:val="1"/>
        </w:numPr>
        <w:tabs>
          <w:tab w:val="left" w:pos="1251"/>
        </w:tabs>
        <w:ind w:left="1250" w:hanging="330"/>
        <w:rPr>
          <w:sz w:val="21"/>
        </w:rPr>
      </w:pPr>
      <w:r>
        <w:rPr>
          <w:sz w:val="21"/>
        </w:rPr>
        <w:t xml:space="preserve">Organismos de coordenação</w:t>
      </w:r>
    </w:p>
    <w:p w:rsidR="00583ADF" w:rsidRDefault="00583ADF">
      <w:pPr>
        <w:pStyle w:val="Corpsdetexte"/>
        <w:spacing w:before="6"/>
        <w:rPr>
          <w:sz w:val="28"/>
        </w:rPr>
      </w:pPr>
    </w:p>
    <w:p w:rsidR="00583ADF" w:rsidRDefault="00741A82">
      <w:pPr>
        <w:pStyle w:val="Paragraphedeliste"/>
        <w:numPr>
          <w:ilvl w:val="2"/>
          <w:numId w:val="1"/>
        </w:numPr>
        <w:tabs>
          <w:tab w:val="left" w:pos="2126"/>
        </w:tabs>
        <w:spacing w:before="1"/>
        <w:ind w:hanging="497"/>
        <w:rPr>
          <w:sz w:val="21"/>
        </w:rPr>
      </w:pPr>
      <w:r>
        <w:rPr>
          <w:sz w:val="21"/>
        </w:rPr>
        <w:t xml:space="preserve">Comité de Coordenação Interministerial sobre Refugiados, Retornados e PDI (IMCC)</w:t>
      </w:r>
    </w:p>
    <w:p w:rsidR="00583ADF" w:rsidRDefault="00583ADF">
      <w:pPr>
        <w:pStyle w:val="Corpsdetexte"/>
        <w:spacing w:before="1"/>
        <w:rPr>
          <w:sz w:val="28"/>
        </w:rPr>
      </w:pPr>
    </w:p>
    <w:p w:rsidR="00583ADF" w:rsidRDefault="00741A82">
      <w:pPr>
        <w:pStyle w:val="Paragraphedeliste"/>
        <w:numPr>
          <w:ilvl w:val="2"/>
          <w:numId w:val="1"/>
        </w:numPr>
        <w:tabs>
          <w:tab w:val="left" w:pos="2126"/>
        </w:tabs>
        <w:spacing w:before="1"/>
        <w:ind w:hanging="497"/>
        <w:rPr>
          <w:sz w:val="21"/>
        </w:rPr>
      </w:pPr>
      <w:r>
        <w:rPr>
          <w:sz w:val="21"/>
        </w:rPr>
        <w:t xml:space="preserve">Autoridade Afegã para a Gestão de Desastres Nacionais (AAGDN)</w:t>
      </w:r>
    </w:p>
    <w:p w:rsidR="00583ADF" w:rsidRDefault="00583ADF">
      <w:pPr>
        <w:pStyle w:val="Corpsdetexte"/>
        <w:spacing w:before="6"/>
        <w:rPr>
          <w:sz w:val="28"/>
        </w:rPr>
      </w:pPr>
    </w:p>
    <w:p w:rsidR="00583ADF" w:rsidRDefault="00741A82">
      <w:pPr>
        <w:pStyle w:val="Paragraphedeliste"/>
        <w:numPr>
          <w:ilvl w:val="2"/>
          <w:numId w:val="1"/>
        </w:numPr>
        <w:tabs>
          <w:tab w:val="left" w:pos="2126"/>
        </w:tabs>
        <w:ind w:hanging="497"/>
        <w:rPr>
          <w:sz w:val="21"/>
        </w:rPr>
      </w:pPr>
      <w:r>
        <w:rPr>
          <w:sz w:val="21"/>
        </w:rPr>
        <w:t xml:space="preserve">Alto Comissariado Nacional para a Gestão de Catástrofes Nacionais (CNGC)</w:t>
      </w:r>
    </w:p>
    <w:p w:rsidR="00583ADF" w:rsidRDefault="00583ADF">
      <w:pPr>
        <w:pStyle w:val="Corpsdetexte"/>
        <w:spacing w:before="2"/>
        <w:rPr>
          <w:sz w:val="28"/>
        </w:rPr>
      </w:pPr>
    </w:p>
    <w:p w:rsidR="00583ADF" w:rsidRDefault="00741A82">
      <w:pPr>
        <w:pStyle w:val="Paragraphedeliste"/>
        <w:numPr>
          <w:ilvl w:val="1"/>
          <w:numId w:val="1"/>
        </w:numPr>
        <w:tabs>
          <w:tab w:val="left" w:pos="1251"/>
        </w:tabs>
        <w:ind w:left="1250" w:hanging="330"/>
        <w:rPr>
          <w:sz w:val="21"/>
        </w:rPr>
      </w:pPr>
      <w:r>
        <w:rPr>
          <w:sz w:val="21"/>
        </w:rPr>
        <w:t xml:space="preserve">Parceiros de Implementação</w:t>
      </w:r>
    </w:p>
    <w:p w:rsidR="00583ADF" w:rsidRDefault="00583ADF">
      <w:pPr>
        <w:pStyle w:val="Corpsdetexte"/>
        <w:spacing w:before="7"/>
        <w:rPr>
          <w:sz w:val="28"/>
        </w:rPr>
      </w:pPr>
    </w:p>
    <w:p w:rsidR="00583ADF" w:rsidRDefault="00741A82">
      <w:pPr>
        <w:pStyle w:val="Paragraphedeliste"/>
        <w:numPr>
          <w:ilvl w:val="2"/>
          <w:numId w:val="1"/>
        </w:numPr>
        <w:tabs>
          <w:tab w:val="left" w:pos="2126"/>
        </w:tabs>
        <w:ind w:hanging="497"/>
        <w:rPr>
          <w:sz w:val="21"/>
        </w:rPr>
      </w:pPr>
      <w:r>
        <w:rPr>
          <w:sz w:val="21"/>
        </w:rPr>
        <w:t xml:space="preserve">Ministérios de Execução com Responsabilidades Setoriais para com as PDI</w:t>
      </w:r>
    </w:p>
    <w:p w:rsidR="00583ADF" w:rsidRDefault="00583ADF">
      <w:pPr>
        <w:pStyle w:val="Corpsdetexte"/>
        <w:spacing w:before="6"/>
        <w:rPr>
          <w:sz w:val="28"/>
        </w:rPr>
      </w:pPr>
    </w:p>
    <w:p w:rsidR="00583ADF" w:rsidRDefault="00741A82">
      <w:pPr>
        <w:pStyle w:val="Paragraphedeliste"/>
        <w:numPr>
          <w:ilvl w:val="2"/>
          <w:numId w:val="1"/>
        </w:numPr>
        <w:tabs>
          <w:tab w:val="left" w:pos="2126"/>
        </w:tabs>
        <w:ind w:hanging="497"/>
        <w:rPr>
          <w:sz w:val="21"/>
        </w:rPr>
      </w:pPr>
      <w:r>
        <w:rPr>
          <w:sz w:val="21"/>
        </w:rPr>
        <w:t xml:space="preserve">Autoridades provinciais e outras autoridades locais</w:t>
      </w:r>
    </w:p>
    <w:p w:rsidR="00583ADF" w:rsidRDefault="00583ADF">
      <w:pPr>
        <w:pStyle w:val="Corpsdetexte"/>
        <w:spacing w:before="2"/>
        <w:rPr>
          <w:sz w:val="28"/>
        </w:rPr>
      </w:pPr>
    </w:p>
    <w:p w:rsidR="00583ADF" w:rsidRDefault="00741A82">
      <w:pPr>
        <w:pStyle w:val="Paragraphedeliste"/>
        <w:numPr>
          <w:ilvl w:val="2"/>
          <w:numId w:val="1"/>
        </w:numPr>
        <w:tabs>
          <w:tab w:val="left" w:pos="2126"/>
        </w:tabs>
        <w:ind w:hanging="497"/>
        <w:rPr>
          <w:sz w:val="21"/>
        </w:rPr>
      </w:pPr>
      <w:r>
        <w:rPr>
          <w:sz w:val="21"/>
        </w:rPr>
        <w:t xml:space="preserve">Comissão Independente de Direitos Humanos do Afeganistão (CIDHA)</w:t>
      </w:r>
    </w:p>
    <w:p w:rsidR="00583ADF" w:rsidRDefault="00583ADF">
      <w:pPr>
        <w:pStyle w:val="Corpsdetexte"/>
        <w:spacing w:before="7"/>
        <w:rPr>
          <w:sz w:val="28"/>
        </w:rPr>
      </w:pPr>
    </w:p>
    <w:p w:rsidR="00583ADF" w:rsidRDefault="00741A82">
      <w:pPr>
        <w:pStyle w:val="Paragraphedeliste"/>
        <w:numPr>
          <w:ilvl w:val="1"/>
          <w:numId w:val="1"/>
        </w:numPr>
        <w:tabs>
          <w:tab w:val="left" w:pos="1251"/>
        </w:tabs>
        <w:ind w:left="1250" w:hanging="330"/>
        <w:rPr>
          <w:sz w:val="21"/>
        </w:rPr>
      </w:pPr>
      <w:r>
        <w:rPr>
          <w:sz w:val="21"/>
        </w:rPr>
        <w:t xml:space="preserve">Outros intervenientes</w:t>
      </w:r>
    </w:p>
    <w:p w:rsidR="00583ADF" w:rsidRDefault="00583ADF">
      <w:pPr>
        <w:pStyle w:val="Corpsdetexte"/>
        <w:spacing w:before="2"/>
        <w:rPr>
          <w:sz w:val="28"/>
        </w:rPr>
      </w:pPr>
    </w:p>
    <w:p w:rsidR="00583ADF" w:rsidRDefault="00741A82">
      <w:pPr>
        <w:pStyle w:val="Paragraphedeliste"/>
        <w:numPr>
          <w:ilvl w:val="2"/>
          <w:numId w:val="1"/>
        </w:numPr>
        <w:tabs>
          <w:tab w:val="left" w:pos="2126"/>
        </w:tabs>
        <w:ind w:hanging="497"/>
        <w:rPr>
          <w:sz w:val="21"/>
        </w:rPr>
      </w:pPr>
      <w:r>
        <w:rPr>
          <w:sz w:val="21"/>
        </w:rPr>
        <w:t xml:space="preserve">Comunidade internacional</w:t>
      </w:r>
    </w:p>
    <w:p w:rsidR="00583ADF" w:rsidRDefault="00583ADF">
      <w:pPr>
        <w:pStyle w:val="Corpsdetexte"/>
        <w:spacing w:before="6"/>
        <w:rPr>
          <w:sz w:val="28"/>
        </w:rPr>
      </w:pPr>
    </w:p>
    <w:p w:rsidR="00583ADF" w:rsidRDefault="00741A82">
      <w:pPr>
        <w:pStyle w:val="Paragraphedeliste"/>
        <w:numPr>
          <w:ilvl w:val="2"/>
          <w:numId w:val="1"/>
        </w:numPr>
        <w:tabs>
          <w:tab w:val="left" w:pos="2126"/>
        </w:tabs>
        <w:ind w:hanging="497"/>
        <w:rPr>
          <w:sz w:val="21"/>
        </w:rPr>
      </w:pPr>
      <w:r>
        <w:rPr>
          <w:sz w:val="21"/>
        </w:rPr>
        <w:t xml:space="preserve">Sociedade civil afegã</w:t>
      </w:r>
    </w:p>
    <w:p w:rsidR="00583ADF" w:rsidRDefault="00583ADF">
      <w:pPr>
        <w:pStyle w:val="Corpsdetexte"/>
        <w:spacing w:before="7"/>
        <w:rPr>
          <w:sz w:val="28"/>
        </w:rPr>
      </w:pPr>
    </w:p>
    <w:p w:rsidR="00583ADF" w:rsidRDefault="00741A82">
      <w:pPr>
        <w:pStyle w:val="Paragraphedeliste"/>
        <w:numPr>
          <w:ilvl w:val="2"/>
          <w:numId w:val="1"/>
        </w:numPr>
        <w:tabs>
          <w:tab w:val="left" w:pos="2126"/>
        </w:tabs>
        <w:ind w:hanging="497"/>
        <w:rPr>
          <w:sz w:val="21"/>
        </w:rPr>
      </w:pPr>
      <w:r>
        <w:rPr>
          <w:sz w:val="21"/>
        </w:rPr>
        <w:t xml:space="preserve">PDIs e outras comunidades afetadas pela deslocação</w:t>
      </w:r>
    </w:p>
    <w:p w:rsidR="00583ADF" w:rsidRDefault="00583ADF">
      <w:pPr>
        <w:pStyle w:val="Corpsdetexte"/>
        <w:spacing w:before="2"/>
        <w:rPr>
          <w:sz w:val="28"/>
        </w:rPr>
      </w:pPr>
    </w:p>
    <w:p w:rsidR="00583ADF" w:rsidRDefault="00741A82">
      <w:pPr>
        <w:pStyle w:val="Paragraphedeliste"/>
        <w:numPr>
          <w:ilvl w:val="1"/>
          <w:numId w:val="1"/>
        </w:numPr>
        <w:tabs>
          <w:tab w:val="left" w:pos="1251"/>
        </w:tabs>
        <w:ind w:left="1250" w:hanging="330"/>
        <w:rPr>
          <w:sz w:val="21"/>
        </w:rPr>
      </w:pPr>
      <w:r>
        <w:rPr>
          <w:sz w:val="21"/>
        </w:rPr>
        <w:t xml:space="preserve">Adesão à política</w:t>
      </w:r>
    </w:p>
    <w:p w:rsidR="00583ADF" w:rsidRDefault="00583ADF">
      <w:pPr>
        <w:pStyle w:val="Corpsdetexte"/>
        <w:rPr>
          <w:sz w:val="26"/>
        </w:rPr>
      </w:pPr>
    </w:p>
    <w:p w:rsidR="00583ADF" w:rsidRDefault="00583ADF">
      <w:pPr>
        <w:pStyle w:val="Corpsdetexte"/>
        <w:rPr>
          <w:sz w:val="26"/>
        </w:rPr>
      </w:pPr>
    </w:p>
    <w:p w:rsidR="00583ADF" w:rsidRDefault="00583ADF">
      <w:pPr>
        <w:pStyle w:val="Corpsdetexte"/>
        <w:spacing w:before="8"/>
        <w:rPr>
          <w:sz w:val="25"/>
        </w:rPr>
      </w:pPr>
    </w:p>
    <w:p w:rsidR="00583ADF" w:rsidRDefault="00741A82">
      <w:pPr>
        <w:pStyle w:val="Titre2"/>
        <w:numPr>
          <w:ilvl w:val="0"/>
          <w:numId w:val="1"/>
        </w:numPr>
        <w:tabs>
          <w:tab w:val="left" w:pos="434"/>
        </w:tabs>
        <w:ind w:left="433" w:hanging="221"/>
        <w:jc w:val="left"/>
      </w:pPr>
      <w:r>
        <w:rPr>
          <w:color w:val="2E74B5"/>
        </w:rPr>
        <w:t xml:space="preserve">Ações necessárias para a prevenção da deslocação arbitrária</w:t>
      </w:r>
    </w:p>
    <w:p w:rsidR="00583ADF" w:rsidRDefault="00583ADF">
      <w:pPr>
        <w:pStyle w:val="Corpsdetexte"/>
        <w:spacing w:before="7"/>
        <w:rPr>
          <w:b/>
          <w:sz w:val="28"/>
        </w:rPr>
      </w:pPr>
    </w:p>
    <w:p w:rsidR="00583ADF" w:rsidRDefault="00741A82">
      <w:pPr>
        <w:pStyle w:val="Paragraphedeliste"/>
        <w:numPr>
          <w:ilvl w:val="1"/>
          <w:numId w:val="1"/>
        </w:numPr>
        <w:tabs>
          <w:tab w:val="left" w:pos="1251"/>
        </w:tabs>
        <w:ind w:left="1250" w:hanging="330"/>
        <w:rPr>
          <w:sz w:val="21"/>
        </w:rPr>
      </w:pPr>
      <w:r>
        <w:rPr>
          <w:sz w:val="21"/>
        </w:rPr>
        <w:t xml:space="preserve">Conflito, operações militares, violência generalizada e violações dos direitos humanos</w:t>
      </w:r>
    </w:p>
    <w:p w:rsidR="00583ADF" w:rsidRDefault="00583ADF">
      <w:pPr>
        <w:rPr>
          <w:sz w:val="21"/>
        </w:rPr>
        <w:sectPr w:rsidR="00583ADF">
          <w:pgSz w:w="11900" w:h="16820"/>
          <w:pgMar w:top="1340" w:right="960" w:bottom="280" w:left="1200" w:header="708" w:footer="708" w:gutter="0"/>
          <w:cols w:space="708"/>
        </w:sectPr>
      </w:pPr>
    </w:p>
    <w:p w:rsidR="00583ADF" w:rsidRDefault="00741A82">
      <w:pPr>
        <w:pStyle w:val="Paragraphedeliste"/>
        <w:numPr>
          <w:ilvl w:val="1"/>
          <w:numId w:val="1"/>
        </w:numPr>
        <w:tabs>
          <w:tab w:val="left" w:pos="1251"/>
        </w:tabs>
        <w:spacing w:before="85"/>
        <w:ind w:left="1250" w:hanging="330"/>
        <w:rPr>
          <w:sz w:val="21"/>
        </w:rPr>
      </w:pPr>
      <w:r>
        <w:rPr>
          <w:sz w:val="21"/>
        </w:rPr>
        <w:t xml:space="preserve">Catástrofes naturais</w:t>
      </w:r>
    </w:p>
    <w:p w:rsidR="00583ADF" w:rsidRDefault="00583ADF">
      <w:pPr>
        <w:pStyle w:val="Corpsdetexte"/>
        <w:spacing w:before="1"/>
        <w:rPr>
          <w:sz w:val="28"/>
        </w:rPr>
      </w:pPr>
    </w:p>
    <w:p w:rsidR="00583ADF" w:rsidRDefault="00741A82">
      <w:pPr>
        <w:pStyle w:val="Paragraphedeliste"/>
        <w:numPr>
          <w:ilvl w:val="1"/>
          <w:numId w:val="1"/>
        </w:numPr>
        <w:tabs>
          <w:tab w:val="left" w:pos="1251"/>
        </w:tabs>
        <w:ind w:left="1250" w:hanging="330"/>
        <w:rPr>
          <w:sz w:val="21"/>
        </w:rPr>
      </w:pPr>
      <w:r>
        <w:rPr>
          <w:sz w:val="21"/>
        </w:rPr>
        <w:t xml:space="preserve">Projetos de desenvolvimento</w:t>
      </w:r>
    </w:p>
    <w:p w:rsidR="00583ADF" w:rsidRDefault="00583ADF">
      <w:pPr>
        <w:pStyle w:val="Corpsdetexte"/>
        <w:spacing w:before="7"/>
        <w:rPr>
          <w:sz w:val="28"/>
        </w:rPr>
      </w:pPr>
    </w:p>
    <w:p w:rsidR="00583ADF" w:rsidRDefault="00741A82">
      <w:pPr>
        <w:pStyle w:val="Paragraphedeliste"/>
        <w:numPr>
          <w:ilvl w:val="1"/>
          <w:numId w:val="1"/>
        </w:numPr>
        <w:tabs>
          <w:tab w:val="left" w:pos="1251"/>
        </w:tabs>
        <w:ind w:left="1250" w:hanging="330"/>
        <w:rPr>
          <w:sz w:val="21"/>
        </w:rPr>
      </w:pPr>
      <w:r>
        <w:rPr>
          <w:sz w:val="21"/>
        </w:rPr>
        <w:t xml:space="preserve">Proibição do despejo forçado</w:t>
      </w:r>
    </w:p>
    <w:p w:rsidR="00583ADF" w:rsidRDefault="00583ADF">
      <w:pPr>
        <w:pStyle w:val="Corpsdetexte"/>
        <w:spacing w:before="2"/>
        <w:rPr>
          <w:sz w:val="28"/>
        </w:rPr>
      </w:pPr>
    </w:p>
    <w:p w:rsidR="00583ADF" w:rsidRDefault="00741A82">
      <w:pPr>
        <w:pStyle w:val="Titre2"/>
        <w:numPr>
          <w:ilvl w:val="0"/>
          <w:numId w:val="1"/>
        </w:numPr>
        <w:tabs>
          <w:tab w:val="left" w:pos="434"/>
        </w:tabs>
        <w:ind w:left="433" w:hanging="221"/>
        <w:jc w:val="left"/>
      </w:pPr>
      <w:r>
        <w:rPr>
          <w:color w:val="2E74B5"/>
        </w:rPr>
        <w:t xml:space="preserve">Deslocação na fase de emergência – assistência e acesso</w:t>
      </w:r>
    </w:p>
    <w:p w:rsidR="00583ADF" w:rsidRDefault="00583ADF">
      <w:pPr>
        <w:pStyle w:val="Corpsdetexte"/>
        <w:spacing w:before="6"/>
        <w:rPr>
          <w:b/>
          <w:sz w:val="28"/>
        </w:rPr>
      </w:pPr>
    </w:p>
    <w:p w:rsidR="00583ADF" w:rsidRDefault="00741A82">
      <w:pPr>
        <w:pStyle w:val="Paragraphedeliste"/>
        <w:numPr>
          <w:ilvl w:val="1"/>
          <w:numId w:val="1"/>
        </w:numPr>
        <w:tabs>
          <w:tab w:val="left" w:pos="1251"/>
        </w:tabs>
        <w:spacing w:before="1"/>
        <w:ind w:left="1250" w:hanging="330"/>
        <w:rPr>
          <w:sz w:val="21"/>
        </w:rPr>
      </w:pPr>
      <w:r>
        <w:rPr>
          <w:sz w:val="21"/>
        </w:rPr>
        <w:t xml:space="preserve">Assistência e proteção de emergência</w:t>
      </w:r>
    </w:p>
    <w:p w:rsidR="00583ADF" w:rsidRDefault="00583ADF">
      <w:pPr>
        <w:pStyle w:val="Corpsdetexte"/>
        <w:spacing w:before="1"/>
        <w:rPr>
          <w:sz w:val="28"/>
        </w:rPr>
      </w:pPr>
    </w:p>
    <w:p w:rsidR="00583ADF" w:rsidRDefault="00741A82">
      <w:pPr>
        <w:pStyle w:val="Paragraphedeliste"/>
        <w:numPr>
          <w:ilvl w:val="1"/>
          <w:numId w:val="1"/>
        </w:numPr>
        <w:tabs>
          <w:tab w:val="left" w:pos="1251"/>
        </w:tabs>
        <w:ind w:left="1250" w:hanging="330"/>
        <w:rPr>
          <w:sz w:val="21"/>
        </w:rPr>
      </w:pPr>
      <w:r>
        <w:rPr>
          <w:sz w:val="21"/>
        </w:rPr>
        <w:t xml:space="preserve">Problemas de acesso humanitário</w:t>
      </w:r>
    </w:p>
    <w:p w:rsidR="00583ADF" w:rsidRDefault="00583ADF">
      <w:pPr>
        <w:pStyle w:val="Corpsdetexte"/>
        <w:spacing w:before="7"/>
        <w:rPr>
          <w:sz w:val="28"/>
        </w:rPr>
      </w:pPr>
    </w:p>
    <w:p w:rsidR="00583ADF" w:rsidRDefault="00741A82">
      <w:pPr>
        <w:pStyle w:val="Paragraphedeliste"/>
        <w:numPr>
          <w:ilvl w:val="1"/>
          <w:numId w:val="1"/>
        </w:numPr>
        <w:tabs>
          <w:tab w:val="left" w:pos="1251"/>
        </w:tabs>
        <w:ind w:left="1250" w:hanging="330"/>
        <w:rPr>
          <w:sz w:val="21"/>
        </w:rPr>
      </w:pPr>
      <w:r>
        <w:rPr>
          <w:sz w:val="21"/>
        </w:rPr>
        <w:t xml:space="preserve">Substituição de documentação perdida</w:t>
      </w:r>
    </w:p>
    <w:p w:rsidR="00583ADF" w:rsidRDefault="00583ADF">
      <w:pPr>
        <w:pStyle w:val="Corpsdetexte"/>
        <w:spacing w:before="7"/>
        <w:rPr>
          <w:sz w:val="28"/>
        </w:rPr>
      </w:pPr>
    </w:p>
    <w:p w:rsidR="00583ADF" w:rsidRDefault="00741A82">
      <w:pPr>
        <w:pStyle w:val="Titre2"/>
        <w:numPr>
          <w:ilvl w:val="0"/>
          <w:numId w:val="1"/>
        </w:numPr>
        <w:tabs>
          <w:tab w:val="left" w:pos="434"/>
        </w:tabs>
        <w:ind w:left="433" w:hanging="221"/>
        <w:jc w:val="left"/>
      </w:pPr>
      <w:r>
        <w:rPr>
          <w:color w:val="2E74B5"/>
        </w:rPr>
        <w:t xml:space="preserve">Proteção e assistência durante a deslocação</w:t>
      </w:r>
    </w:p>
    <w:p w:rsidR="00583ADF" w:rsidRDefault="00583ADF">
      <w:pPr>
        <w:pStyle w:val="Corpsdetexte"/>
        <w:spacing w:before="1"/>
        <w:rPr>
          <w:b/>
          <w:sz w:val="28"/>
        </w:rPr>
      </w:pPr>
    </w:p>
    <w:p w:rsidR="00583ADF" w:rsidRDefault="00741A82">
      <w:pPr>
        <w:pStyle w:val="Paragraphedeliste"/>
        <w:numPr>
          <w:ilvl w:val="1"/>
          <w:numId w:val="1"/>
        </w:numPr>
        <w:tabs>
          <w:tab w:val="left" w:pos="1251"/>
        </w:tabs>
        <w:spacing w:before="1"/>
        <w:ind w:left="1250" w:hanging="330"/>
        <w:rPr>
          <w:sz w:val="21"/>
        </w:rPr>
      </w:pPr>
      <w:r>
        <w:rPr>
          <w:sz w:val="21"/>
        </w:rPr>
        <w:t xml:space="preserve">Direitos humanos e direitos na deslocação</w:t>
      </w:r>
    </w:p>
    <w:p w:rsidR="00583ADF" w:rsidRDefault="00583ADF">
      <w:pPr>
        <w:pStyle w:val="Corpsdetexte"/>
        <w:spacing w:before="6"/>
        <w:rPr>
          <w:sz w:val="28"/>
        </w:rPr>
      </w:pPr>
    </w:p>
    <w:p w:rsidR="00583ADF" w:rsidRDefault="00741A82">
      <w:pPr>
        <w:pStyle w:val="Paragraphedeliste"/>
        <w:numPr>
          <w:ilvl w:val="2"/>
          <w:numId w:val="1"/>
        </w:numPr>
        <w:tabs>
          <w:tab w:val="left" w:pos="2126"/>
        </w:tabs>
        <w:ind w:hanging="497"/>
        <w:rPr>
          <w:sz w:val="21"/>
        </w:rPr>
      </w:pPr>
      <w:r>
        <w:rPr>
          <w:sz w:val="21"/>
        </w:rPr>
        <w:t xml:space="preserve">Proteção da vida, integridade, liberdade e segurança</w:t>
      </w:r>
    </w:p>
    <w:p w:rsidR="00583ADF" w:rsidRDefault="00583ADF">
      <w:pPr>
        <w:pStyle w:val="Corpsdetexte"/>
        <w:spacing w:before="2"/>
        <w:rPr>
          <w:sz w:val="28"/>
        </w:rPr>
      </w:pPr>
    </w:p>
    <w:p w:rsidR="00583ADF" w:rsidRDefault="00741A82">
      <w:pPr>
        <w:pStyle w:val="Paragraphedeliste"/>
        <w:numPr>
          <w:ilvl w:val="2"/>
          <w:numId w:val="1"/>
        </w:numPr>
        <w:tabs>
          <w:tab w:val="left" w:pos="2126"/>
        </w:tabs>
        <w:ind w:hanging="497"/>
        <w:rPr>
          <w:sz w:val="21"/>
        </w:rPr>
      </w:pPr>
      <w:r>
        <w:rPr>
          <w:sz w:val="21"/>
        </w:rPr>
        <w:t xml:space="preserve">Direito à liberdade de movimento e residência</w:t>
      </w:r>
    </w:p>
    <w:p w:rsidR="00583ADF" w:rsidRDefault="00583ADF">
      <w:pPr>
        <w:pStyle w:val="Corpsdetexte"/>
        <w:spacing w:before="7"/>
        <w:rPr>
          <w:sz w:val="28"/>
        </w:rPr>
      </w:pPr>
    </w:p>
    <w:p w:rsidR="00583ADF" w:rsidRDefault="00741A82">
      <w:pPr>
        <w:pStyle w:val="Paragraphedeliste"/>
        <w:numPr>
          <w:ilvl w:val="2"/>
          <w:numId w:val="1"/>
        </w:numPr>
        <w:tabs>
          <w:tab w:val="left" w:pos="2126"/>
        </w:tabs>
        <w:ind w:hanging="497"/>
        <w:rPr>
          <w:sz w:val="21"/>
        </w:rPr>
      </w:pPr>
      <w:r>
        <w:rPr>
          <w:sz w:val="21"/>
        </w:rPr>
        <w:t xml:space="preserve">Direito a habitação adequada e acesso a terra</w:t>
      </w:r>
    </w:p>
    <w:p w:rsidR="00583ADF" w:rsidRDefault="00583ADF">
      <w:pPr>
        <w:pStyle w:val="Corpsdetexte"/>
        <w:spacing w:before="6"/>
        <w:rPr>
          <w:sz w:val="28"/>
        </w:rPr>
      </w:pPr>
    </w:p>
    <w:p w:rsidR="00583ADF" w:rsidRDefault="00741A82">
      <w:pPr>
        <w:pStyle w:val="Paragraphedeliste"/>
        <w:numPr>
          <w:ilvl w:val="2"/>
          <w:numId w:val="1"/>
        </w:numPr>
        <w:tabs>
          <w:tab w:val="left" w:pos="2126"/>
        </w:tabs>
        <w:ind w:hanging="497"/>
        <w:rPr>
          <w:sz w:val="21"/>
        </w:rPr>
      </w:pPr>
      <w:r>
        <w:rPr>
          <w:sz w:val="21"/>
        </w:rPr>
        <w:t xml:space="preserve">Direito à subsistência</w:t>
      </w:r>
    </w:p>
    <w:p w:rsidR="00583ADF" w:rsidRDefault="00583ADF">
      <w:pPr>
        <w:pStyle w:val="Corpsdetexte"/>
        <w:spacing w:before="2"/>
        <w:rPr>
          <w:sz w:val="28"/>
        </w:rPr>
      </w:pPr>
    </w:p>
    <w:p w:rsidR="00583ADF" w:rsidRDefault="00741A82">
      <w:pPr>
        <w:pStyle w:val="Paragraphedeliste"/>
        <w:numPr>
          <w:ilvl w:val="2"/>
          <w:numId w:val="1"/>
        </w:numPr>
        <w:tabs>
          <w:tab w:val="left" w:pos="2126"/>
        </w:tabs>
        <w:ind w:hanging="497"/>
        <w:rPr>
          <w:sz w:val="21"/>
        </w:rPr>
      </w:pPr>
      <w:r>
        <w:rPr>
          <w:sz w:val="21"/>
        </w:rPr>
        <w:t xml:space="preserve">Direito a água, alimentação e vestuário</w:t>
      </w:r>
    </w:p>
    <w:p w:rsidR="00583ADF" w:rsidRDefault="00583ADF">
      <w:pPr>
        <w:pStyle w:val="Corpsdetexte"/>
        <w:spacing w:before="7"/>
        <w:rPr>
          <w:sz w:val="28"/>
        </w:rPr>
      </w:pPr>
    </w:p>
    <w:p w:rsidR="00583ADF" w:rsidRDefault="00741A82">
      <w:pPr>
        <w:pStyle w:val="Paragraphedeliste"/>
        <w:numPr>
          <w:ilvl w:val="2"/>
          <w:numId w:val="1"/>
        </w:numPr>
        <w:tabs>
          <w:tab w:val="left" w:pos="2126"/>
        </w:tabs>
        <w:ind w:hanging="497"/>
        <w:rPr>
          <w:sz w:val="21"/>
        </w:rPr>
      </w:pPr>
      <w:r>
        <w:rPr>
          <w:sz w:val="21"/>
        </w:rPr>
        <w:t xml:space="preserve">Direito a cuidados de saúde</w:t>
      </w:r>
    </w:p>
    <w:p w:rsidR="00583ADF" w:rsidRDefault="00583ADF">
      <w:pPr>
        <w:pStyle w:val="Corpsdetexte"/>
        <w:spacing w:before="2"/>
        <w:rPr>
          <w:sz w:val="28"/>
        </w:rPr>
      </w:pPr>
    </w:p>
    <w:p w:rsidR="00583ADF" w:rsidRDefault="00741A82">
      <w:pPr>
        <w:pStyle w:val="Paragraphedeliste"/>
        <w:numPr>
          <w:ilvl w:val="2"/>
          <w:numId w:val="1"/>
        </w:numPr>
        <w:tabs>
          <w:tab w:val="left" w:pos="2126"/>
        </w:tabs>
        <w:ind w:hanging="497"/>
        <w:rPr>
          <w:sz w:val="21"/>
        </w:rPr>
      </w:pPr>
      <w:r>
        <w:rPr>
          <w:sz w:val="21"/>
        </w:rPr>
        <w:t xml:space="preserve">Direito à proteção da família</w:t>
      </w:r>
    </w:p>
    <w:p w:rsidR="00583ADF" w:rsidRDefault="00583ADF">
      <w:pPr>
        <w:pStyle w:val="Corpsdetexte"/>
        <w:spacing w:before="6"/>
        <w:rPr>
          <w:sz w:val="28"/>
        </w:rPr>
      </w:pPr>
    </w:p>
    <w:p w:rsidR="00583ADF" w:rsidRDefault="00741A82">
      <w:pPr>
        <w:pStyle w:val="Paragraphedeliste"/>
        <w:numPr>
          <w:ilvl w:val="2"/>
          <w:numId w:val="1"/>
        </w:numPr>
        <w:tabs>
          <w:tab w:val="left" w:pos="2126"/>
        </w:tabs>
        <w:ind w:hanging="497"/>
        <w:rPr>
          <w:sz w:val="21"/>
        </w:rPr>
      </w:pPr>
      <w:r>
        <w:rPr>
          <w:sz w:val="21"/>
        </w:rPr>
        <w:t xml:space="preserve">Direito à educação</w:t>
      </w:r>
    </w:p>
    <w:p w:rsidR="00583ADF" w:rsidRDefault="00583ADF">
      <w:pPr>
        <w:pStyle w:val="Corpsdetexte"/>
        <w:spacing w:before="7"/>
        <w:rPr>
          <w:sz w:val="28"/>
        </w:rPr>
      </w:pPr>
    </w:p>
    <w:p w:rsidR="00583ADF" w:rsidRDefault="00741A82">
      <w:pPr>
        <w:pStyle w:val="Paragraphedeliste"/>
        <w:numPr>
          <w:ilvl w:val="2"/>
          <w:numId w:val="1"/>
        </w:numPr>
        <w:tabs>
          <w:tab w:val="left" w:pos="2126"/>
        </w:tabs>
        <w:ind w:hanging="497"/>
        <w:rPr>
          <w:sz w:val="21"/>
        </w:rPr>
      </w:pPr>
      <w:r>
        <w:rPr>
          <w:sz w:val="21"/>
        </w:rPr>
        <w:t xml:space="preserve">Direito à proteção da propriedade e compensação</w:t>
      </w:r>
    </w:p>
    <w:p w:rsidR="00583ADF" w:rsidRDefault="00583ADF">
      <w:pPr>
        <w:pStyle w:val="Corpsdetexte"/>
        <w:spacing w:before="2"/>
        <w:rPr>
          <w:sz w:val="28"/>
        </w:rPr>
      </w:pPr>
    </w:p>
    <w:p w:rsidR="00583ADF" w:rsidRDefault="00741A82">
      <w:pPr>
        <w:pStyle w:val="Paragraphedeliste"/>
        <w:numPr>
          <w:ilvl w:val="2"/>
          <w:numId w:val="1"/>
        </w:numPr>
        <w:tabs>
          <w:tab w:val="left" w:pos="2237"/>
        </w:tabs>
        <w:ind w:left="2236" w:hanging="608"/>
        <w:rPr>
          <w:sz w:val="21"/>
        </w:rPr>
      </w:pPr>
      <w:r>
        <w:rPr>
          <w:sz w:val="21"/>
        </w:rPr>
        <w:t xml:space="preserve">Direito à liberdade de expressão e acesso à informação</w:t>
      </w:r>
    </w:p>
    <w:p w:rsidR="00583ADF" w:rsidRDefault="00583ADF">
      <w:pPr>
        <w:pStyle w:val="Corpsdetexte"/>
        <w:spacing w:before="6"/>
        <w:rPr>
          <w:sz w:val="28"/>
        </w:rPr>
      </w:pPr>
    </w:p>
    <w:p w:rsidR="00583ADF" w:rsidRDefault="00741A82">
      <w:pPr>
        <w:pStyle w:val="Paragraphedeliste"/>
        <w:numPr>
          <w:ilvl w:val="2"/>
          <w:numId w:val="1"/>
        </w:numPr>
        <w:tabs>
          <w:tab w:val="left" w:pos="2237"/>
        </w:tabs>
        <w:spacing w:before="1"/>
        <w:ind w:left="2236" w:hanging="608"/>
        <w:rPr>
          <w:sz w:val="21"/>
        </w:rPr>
      </w:pPr>
      <w:r>
        <w:rPr>
          <w:sz w:val="21"/>
        </w:rPr>
        <w:t xml:space="preserve">Direitos participativos, incluindo o direito de voto</w:t>
      </w:r>
    </w:p>
    <w:p w:rsidR="00583ADF" w:rsidRDefault="00583ADF">
      <w:pPr>
        <w:pStyle w:val="Corpsdetexte"/>
        <w:spacing w:before="1"/>
        <w:rPr>
          <w:sz w:val="28"/>
        </w:rPr>
      </w:pPr>
    </w:p>
    <w:p w:rsidR="00583ADF" w:rsidRDefault="00741A82">
      <w:pPr>
        <w:pStyle w:val="Paragraphedeliste"/>
        <w:numPr>
          <w:ilvl w:val="1"/>
          <w:numId w:val="1"/>
        </w:numPr>
        <w:tabs>
          <w:tab w:val="left" w:pos="1251"/>
        </w:tabs>
        <w:ind w:left="1250" w:hanging="330"/>
        <w:rPr>
          <w:sz w:val="21"/>
        </w:rPr>
      </w:pPr>
      <w:r>
        <w:rPr>
          <w:sz w:val="21"/>
        </w:rPr>
        <w:t xml:space="preserve">Deslocação prolongada</w:t>
      </w:r>
    </w:p>
    <w:p w:rsidR="00583ADF" w:rsidRDefault="00583ADF">
      <w:pPr>
        <w:pStyle w:val="Corpsdetexte"/>
        <w:rPr>
          <w:sz w:val="26"/>
        </w:rPr>
      </w:pPr>
    </w:p>
    <w:p w:rsidR="00583ADF" w:rsidRDefault="00583ADF">
      <w:pPr>
        <w:pStyle w:val="Corpsdetexte"/>
        <w:rPr>
          <w:sz w:val="26"/>
        </w:rPr>
      </w:pPr>
    </w:p>
    <w:p w:rsidR="00583ADF" w:rsidRDefault="00583ADF">
      <w:pPr>
        <w:pStyle w:val="Corpsdetexte"/>
        <w:spacing w:before="1"/>
        <w:rPr>
          <w:sz w:val="26"/>
        </w:rPr>
      </w:pPr>
    </w:p>
    <w:p w:rsidR="00583ADF" w:rsidRDefault="00741A82">
      <w:pPr>
        <w:pStyle w:val="Titre2"/>
        <w:numPr>
          <w:ilvl w:val="0"/>
          <w:numId w:val="1"/>
        </w:numPr>
        <w:tabs>
          <w:tab w:val="left" w:pos="434"/>
        </w:tabs>
        <w:spacing w:before="1"/>
        <w:ind w:left="433" w:hanging="221"/>
        <w:jc w:val="left"/>
      </w:pPr>
      <w:r>
        <w:rPr>
          <w:color w:val="2E74B5"/>
        </w:rPr>
        <w:t xml:space="preserve">Soluções duradouras</w:t>
      </w:r>
    </w:p>
    <w:p w:rsidR="00583ADF" w:rsidRDefault="00583ADF">
      <w:pPr>
        <w:sectPr w:rsidR="00583ADF">
          <w:pgSz w:w="11900" w:h="16820"/>
          <w:pgMar w:top="1340" w:right="960" w:bottom="280" w:left="1200" w:header="708" w:footer="708" w:gutter="0"/>
          <w:cols w:space="708"/>
        </w:sectPr>
      </w:pPr>
    </w:p>
    <w:p w:rsidR="00583ADF" w:rsidRDefault="00741A82">
      <w:pPr>
        <w:pStyle w:val="Paragraphedeliste"/>
        <w:numPr>
          <w:ilvl w:val="1"/>
          <w:numId w:val="1"/>
        </w:numPr>
        <w:tabs>
          <w:tab w:val="left" w:pos="1251"/>
        </w:tabs>
        <w:spacing w:before="85"/>
        <w:ind w:left="1250" w:hanging="330"/>
        <w:rPr>
          <w:sz w:val="21"/>
        </w:rPr>
      </w:pPr>
      <w:r>
        <w:rPr>
          <w:sz w:val="21"/>
        </w:rPr>
        <w:t xml:space="preserve">Princípios gerais</w:t>
      </w:r>
    </w:p>
    <w:p w:rsidR="00583ADF" w:rsidRDefault="00583ADF">
      <w:pPr>
        <w:pStyle w:val="Corpsdetexte"/>
        <w:spacing w:before="1"/>
        <w:rPr>
          <w:sz w:val="28"/>
        </w:rPr>
      </w:pPr>
    </w:p>
    <w:p w:rsidR="00583ADF" w:rsidRDefault="00741A82">
      <w:pPr>
        <w:pStyle w:val="Paragraphedeliste"/>
        <w:numPr>
          <w:ilvl w:val="1"/>
          <w:numId w:val="1"/>
        </w:numPr>
        <w:tabs>
          <w:tab w:val="left" w:pos="1251"/>
        </w:tabs>
        <w:ind w:left="1250" w:hanging="330"/>
        <w:rPr>
          <w:sz w:val="21"/>
        </w:rPr>
      </w:pPr>
      <w:r>
        <w:rPr>
          <w:sz w:val="21"/>
        </w:rPr>
        <w:t xml:space="preserve">Estratégias e planos de ação</w:t>
      </w:r>
    </w:p>
    <w:p w:rsidR="00583ADF" w:rsidRDefault="00583ADF">
      <w:pPr>
        <w:pStyle w:val="Corpsdetexte"/>
        <w:spacing w:before="7"/>
        <w:rPr>
          <w:sz w:val="28"/>
        </w:rPr>
      </w:pPr>
    </w:p>
    <w:p w:rsidR="00583ADF" w:rsidRDefault="00741A82">
      <w:pPr>
        <w:pStyle w:val="Paragraphedeliste"/>
        <w:numPr>
          <w:ilvl w:val="2"/>
          <w:numId w:val="1"/>
        </w:numPr>
        <w:tabs>
          <w:tab w:val="left" w:pos="2126"/>
        </w:tabs>
        <w:ind w:hanging="497"/>
        <w:rPr>
          <w:sz w:val="21"/>
        </w:rPr>
      </w:pPr>
      <w:r>
        <w:rPr>
          <w:sz w:val="21"/>
        </w:rPr>
        <w:t xml:space="preserve">Planos de ação provinciais</w:t>
      </w:r>
    </w:p>
    <w:p w:rsidR="00583ADF" w:rsidRDefault="00583ADF">
      <w:pPr>
        <w:pStyle w:val="Corpsdetexte"/>
        <w:spacing w:before="2"/>
        <w:rPr>
          <w:sz w:val="28"/>
        </w:rPr>
      </w:pPr>
    </w:p>
    <w:p w:rsidR="00583ADF" w:rsidRDefault="00741A82">
      <w:pPr>
        <w:pStyle w:val="Paragraphedeliste"/>
        <w:numPr>
          <w:ilvl w:val="2"/>
          <w:numId w:val="1"/>
        </w:numPr>
        <w:tabs>
          <w:tab w:val="left" w:pos="2126"/>
        </w:tabs>
        <w:ind w:hanging="497"/>
        <w:rPr>
          <w:sz w:val="21"/>
        </w:rPr>
      </w:pPr>
      <w:r>
        <w:rPr>
          <w:sz w:val="21"/>
        </w:rPr>
        <w:t xml:space="preserve">Plano de implementação nacional</w:t>
      </w:r>
    </w:p>
    <w:p w:rsidR="00583ADF" w:rsidRDefault="00583ADF">
      <w:pPr>
        <w:pStyle w:val="Corpsdetexte"/>
        <w:spacing w:before="6"/>
        <w:rPr>
          <w:sz w:val="28"/>
        </w:rPr>
      </w:pPr>
    </w:p>
    <w:p w:rsidR="00583ADF" w:rsidRDefault="00741A82">
      <w:pPr>
        <w:pStyle w:val="Paragraphedeliste"/>
        <w:numPr>
          <w:ilvl w:val="1"/>
          <w:numId w:val="1"/>
        </w:numPr>
        <w:tabs>
          <w:tab w:val="left" w:pos="1251"/>
        </w:tabs>
        <w:spacing w:before="1"/>
        <w:ind w:left="1250" w:hanging="330"/>
        <w:rPr>
          <w:sz w:val="21"/>
        </w:rPr>
      </w:pPr>
      <w:r>
        <w:rPr>
          <w:sz w:val="21"/>
        </w:rPr>
        <w:t xml:space="preserve">Regresso</w:t>
      </w:r>
    </w:p>
    <w:p w:rsidR="00583ADF" w:rsidRDefault="00583ADF">
      <w:pPr>
        <w:pStyle w:val="Corpsdetexte"/>
        <w:spacing w:before="1"/>
        <w:rPr>
          <w:sz w:val="28"/>
        </w:rPr>
      </w:pPr>
    </w:p>
    <w:p w:rsidR="00583ADF" w:rsidRDefault="00741A82">
      <w:pPr>
        <w:pStyle w:val="Paragraphedeliste"/>
        <w:numPr>
          <w:ilvl w:val="2"/>
          <w:numId w:val="1"/>
        </w:numPr>
        <w:tabs>
          <w:tab w:val="left" w:pos="2126"/>
        </w:tabs>
        <w:ind w:hanging="497"/>
        <w:rPr>
          <w:sz w:val="21"/>
        </w:rPr>
      </w:pPr>
      <w:r>
        <w:rPr>
          <w:sz w:val="21"/>
        </w:rPr>
        <w:t xml:space="preserve">Condições de regresso</w:t>
      </w:r>
    </w:p>
    <w:p w:rsidR="00583ADF" w:rsidRDefault="00583ADF">
      <w:pPr>
        <w:pStyle w:val="Corpsdetexte"/>
        <w:spacing w:before="7"/>
        <w:rPr>
          <w:sz w:val="28"/>
        </w:rPr>
      </w:pPr>
    </w:p>
    <w:p w:rsidR="00583ADF" w:rsidRDefault="00741A82">
      <w:pPr>
        <w:pStyle w:val="Paragraphedeliste"/>
        <w:numPr>
          <w:ilvl w:val="2"/>
          <w:numId w:val="1"/>
        </w:numPr>
        <w:tabs>
          <w:tab w:val="left" w:pos="2126"/>
        </w:tabs>
        <w:ind w:hanging="497"/>
        <w:rPr>
          <w:sz w:val="21"/>
        </w:rPr>
      </w:pPr>
      <w:r>
        <w:rPr>
          <w:sz w:val="21"/>
        </w:rPr>
        <w:t xml:space="preserve">Facilitar o regresso</w:t>
      </w:r>
    </w:p>
    <w:p w:rsidR="00583ADF" w:rsidRDefault="00583ADF">
      <w:pPr>
        <w:pStyle w:val="Corpsdetexte"/>
        <w:spacing w:before="7"/>
        <w:rPr>
          <w:sz w:val="28"/>
        </w:rPr>
      </w:pPr>
    </w:p>
    <w:p w:rsidR="00583ADF" w:rsidRDefault="00741A82">
      <w:pPr>
        <w:pStyle w:val="Paragraphedeliste"/>
        <w:numPr>
          <w:ilvl w:val="1"/>
          <w:numId w:val="1"/>
        </w:numPr>
        <w:tabs>
          <w:tab w:val="left" w:pos="1251"/>
        </w:tabs>
        <w:ind w:left="1250" w:hanging="330"/>
        <w:rPr>
          <w:sz w:val="21"/>
        </w:rPr>
      </w:pPr>
      <w:r>
        <w:rPr>
          <w:sz w:val="21"/>
        </w:rPr>
        <w:t xml:space="preserve">Outras soluções duradouras:</w:t>
      </w:r>
      <w:r>
        <w:rPr>
          <w:sz w:val="21"/>
          <w:b/>
        </w:rPr>
        <w:t xml:space="preserve"> </w:t>
      </w:r>
      <w:r>
        <w:rPr>
          <w:sz w:val="21"/>
        </w:rPr>
        <w:t xml:space="preserve">integração local e recolocação noutro ponto do país.</w:t>
      </w:r>
    </w:p>
    <w:p w:rsidR="00583ADF" w:rsidRDefault="00583ADF">
      <w:pPr>
        <w:pStyle w:val="Corpsdetexte"/>
        <w:spacing w:before="1"/>
        <w:rPr>
          <w:sz w:val="28"/>
        </w:rPr>
      </w:pPr>
    </w:p>
    <w:p w:rsidR="00583ADF" w:rsidRDefault="00741A82">
      <w:pPr>
        <w:pStyle w:val="Titre2"/>
        <w:numPr>
          <w:ilvl w:val="0"/>
          <w:numId w:val="1"/>
        </w:numPr>
        <w:tabs>
          <w:tab w:val="left" w:pos="434"/>
        </w:tabs>
        <w:spacing w:before="1"/>
        <w:ind w:left="433" w:hanging="221"/>
        <w:jc w:val="left"/>
      </w:pPr>
      <w:r>
        <w:rPr>
          <w:color w:val="2E74B5"/>
        </w:rPr>
        <w:t xml:space="preserve">Financiamento</w:t>
      </w:r>
    </w:p>
    <w:p w:rsidR="00583ADF" w:rsidRDefault="00741A82">
      <w:pPr>
        <w:pStyle w:val="Paragraphedeliste"/>
        <w:numPr>
          <w:ilvl w:val="0"/>
          <w:numId w:val="1"/>
        </w:numPr>
        <w:tabs>
          <w:tab w:val="left" w:pos="546"/>
        </w:tabs>
        <w:spacing w:before="214"/>
        <w:ind w:left="545" w:hanging="333"/>
        <w:jc w:val="left"/>
        <w:rPr>
          <w:b/>
          <w:sz w:val="21"/>
        </w:rPr>
      </w:pPr>
      <w:r>
        <w:rPr>
          <w:b/>
          <w:color w:val="2E74B5"/>
          <w:sz w:val="21"/>
        </w:rPr>
        <w:t xml:space="preserve">Monitorização da implementação</w:t>
      </w:r>
    </w:p>
    <w:p w:rsidR="00583ADF" w:rsidRDefault="00583ADF">
      <w:pPr>
        <w:pStyle w:val="Corpsdetexte"/>
        <w:rPr>
          <w:b/>
          <w:sz w:val="26"/>
        </w:rPr>
      </w:pPr>
    </w:p>
    <w:p w:rsidR="00583ADF" w:rsidRDefault="00583ADF">
      <w:pPr>
        <w:pStyle w:val="Corpsdetexte"/>
        <w:spacing w:before="8"/>
        <w:rPr>
          <w:b/>
          <w:sz w:val="29"/>
        </w:rPr>
      </w:pPr>
    </w:p>
    <w:p w:rsidR="00583ADF" w:rsidRDefault="00741A82">
      <w:pPr>
        <w:ind w:left="213"/>
        <w:rPr>
          <w:b/>
          <w:sz w:val="21"/>
        </w:rPr>
      </w:pPr>
      <w:r>
        <w:rPr>
          <w:b/>
          <w:sz w:val="21"/>
        </w:rPr>
        <w:t xml:space="preserve">Anexos</w:t>
      </w:r>
    </w:p>
    <w:p w:rsidR="00583ADF" w:rsidRDefault="00741A82">
      <w:pPr>
        <w:pStyle w:val="Corpsdetexte"/>
        <w:spacing w:before="214"/>
        <w:ind w:left="213"/>
      </w:pPr>
      <w:r>
        <w:t xml:space="preserve">Anexo 1.</w:t>
      </w:r>
      <w:r>
        <w:t xml:space="preserve"> </w:t>
      </w:r>
      <w:r>
        <w:t xml:space="preserve">Princípios Orientadores das Nações Unidas sobre Deslocações Internas</w:t>
      </w:r>
    </w:p>
    <w:p w:rsidR="00583ADF" w:rsidRDefault="00741A82">
      <w:pPr>
        <w:spacing w:before="209" w:line="439" w:lineRule="auto"/>
        <w:ind w:left="213" w:right="1830"/>
        <w:rPr>
          <w:sz w:val="19"/>
        </w:rPr>
      </w:pPr>
      <w:r>
        <w:rPr>
          <w:sz w:val="21"/>
        </w:rPr>
        <w:t xml:space="preserve">Anexo 2.</w:t>
      </w:r>
      <w:r>
        <w:rPr>
          <w:sz w:val="21"/>
        </w:rPr>
        <w:t xml:space="preserve"> </w:t>
      </w:r>
      <w:r>
        <w:rPr>
          <w:sz w:val="21"/>
        </w:rPr>
        <w:t xml:space="preserve">Funções e responsabilidades dos Ministérios de Execução e outras agências governamentais Anexo 3.</w:t>
      </w:r>
      <w:r>
        <w:rPr>
          <w:sz w:val="21"/>
        </w:rPr>
        <w:t xml:space="preserve"> </w:t>
      </w:r>
      <w:r>
        <w:rPr>
          <w:sz w:val="21"/>
        </w:rPr>
        <w:t xml:space="preserve">Diretrizes para desenvolver planos de ação provinciais para soluções duradouras </w:t>
      </w:r>
      <w:r>
        <w:rPr>
          <w:sz w:val="19"/>
        </w:rPr>
        <w:t xml:space="preserve">Anexo 4.</w:t>
      </w:r>
      <w:r>
        <w:rPr>
          <w:sz w:val="19"/>
        </w:rPr>
        <w:t xml:space="preserve"> </w:t>
      </w:r>
      <w:r>
        <w:rPr>
          <w:sz w:val="19"/>
        </w:rPr>
        <w:t xml:space="preserve">Diretrizes para a mitigação de danos e sofrimento em situação de despejo forçado.</w:t>
      </w:r>
    </w:p>
    <w:sectPr w:rsidR="00583ADF">
      <w:pgSz w:w="11900" w:h="16820"/>
      <w:pgMar w:top="1340" w:right="960" w:bottom="280" w:left="12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B52E2"/>
    <w:multiLevelType w:val="hybridMultilevel"/>
    <w:tmpl w:val="C59C8EDE"/>
    <w:lvl w:ilvl="0" w:tplc="57FCF68A">
      <w:numFmt w:val="bullet"/>
      <w:lvlText w:val=""/>
      <w:lvlJc w:val="left"/>
      <w:pPr>
        <w:ind w:left="832" w:hanging="360"/>
      </w:pPr>
      <w:rPr>
        <w:rFonts w:ascii="Wingdings" w:eastAsia="Wingdings" w:hAnsi="Wingdings" w:cs="Wingdings" w:hint="default"/>
        <w:color w:val="1F4E79"/>
        <w:w w:val="103"/>
        <w:sz w:val="19"/>
        <w:szCs w:val="19"/>
      </w:rPr>
    </w:lvl>
    <w:lvl w:ilvl="1" w:tplc="D4CAC048">
      <w:numFmt w:val="bullet"/>
      <w:lvlText w:val="•"/>
      <w:lvlJc w:val="left"/>
      <w:pPr>
        <w:ind w:left="1304" w:hanging="360"/>
      </w:pPr>
      <w:rPr>
        <w:rFonts w:hint="default"/>
      </w:rPr>
    </w:lvl>
    <w:lvl w:ilvl="2" w:tplc="136C662E">
      <w:numFmt w:val="bullet"/>
      <w:lvlText w:val="•"/>
      <w:lvlJc w:val="left"/>
      <w:pPr>
        <w:ind w:left="1768" w:hanging="360"/>
      </w:pPr>
      <w:rPr>
        <w:rFonts w:hint="default"/>
      </w:rPr>
    </w:lvl>
    <w:lvl w:ilvl="3" w:tplc="4A48304E">
      <w:numFmt w:val="bullet"/>
      <w:lvlText w:val="•"/>
      <w:lvlJc w:val="left"/>
      <w:pPr>
        <w:ind w:left="2233" w:hanging="360"/>
      </w:pPr>
      <w:rPr>
        <w:rFonts w:hint="default"/>
      </w:rPr>
    </w:lvl>
    <w:lvl w:ilvl="4" w:tplc="A86019E8">
      <w:numFmt w:val="bullet"/>
      <w:lvlText w:val="•"/>
      <w:lvlJc w:val="left"/>
      <w:pPr>
        <w:ind w:left="2697" w:hanging="360"/>
      </w:pPr>
      <w:rPr>
        <w:rFonts w:hint="default"/>
      </w:rPr>
    </w:lvl>
    <w:lvl w:ilvl="5" w:tplc="4B1CE788">
      <w:numFmt w:val="bullet"/>
      <w:lvlText w:val="•"/>
      <w:lvlJc w:val="left"/>
      <w:pPr>
        <w:ind w:left="3162" w:hanging="360"/>
      </w:pPr>
      <w:rPr>
        <w:rFonts w:hint="default"/>
      </w:rPr>
    </w:lvl>
    <w:lvl w:ilvl="6" w:tplc="0D386154">
      <w:numFmt w:val="bullet"/>
      <w:lvlText w:val="•"/>
      <w:lvlJc w:val="left"/>
      <w:pPr>
        <w:ind w:left="3626" w:hanging="360"/>
      </w:pPr>
      <w:rPr>
        <w:rFonts w:hint="default"/>
      </w:rPr>
    </w:lvl>
    <w:lvl w:ilvl="7" w:tplc="4D120822">
      <w:numFmt w:val="bullet"/>
      <w:lvlText w:val="•"/>
      <w:lvlJc w:val="left"/>
      <w:pPr>
        <w:ind w:left="4090" w:hanging="360"/>
      </w:pPr>
      <w:rPr>
        <w:rFonts w:hint="default"/>
      </w:rPr>
    </w:lvl>
    <w:lvl w:ilvl="8" w:tplc="66A8AE78">
      <w:numFmt w:val="bullet"/>
      <w:lvlText w:val="•"/>
      <w:lvlJc w:val="left"/>
      <w:pPr>
        <w:ind w:left="4555" w:hanging="360"/>
      </w:pPr>
      <w:rPr>
        <w:rFonts w:hint="default"/>
      </w:rPr>
    </w:lvl>
  </w:abstractNum>
  <w:abstractNum w:abstractNumId="1" w15:restartNumberingAfterBreak="0">
    <w:nsid w:val="562D344A"/>
    <w:multiLevelType w:val="hybridMultilevel"/>
    <w:tmpl w:val="97984020"/>
    <w:lvl w:ilvl="0" w:tplc="5712E04C">
      <w:start w:val="1"/>
      <w:numFmt w:val="lowerLetter"/>
      <w:lvlText w:val="(%1)"/>
      <w:lvlJc w:val="left"/>
      <w:pPr>
        <w:ind w:left="374" w:hanging="263"/>
        <w:jc w:val="left"/>
      </w:pPr>
      <w:rPr>
        <w:rFonts w:hint="default"/>
        <w:w w:val="103"/>
      </w:rPr>
    </w:lvl>
    <w:lvl w:ilvl="1" w:tplc="752A34B4">
      <w:numFmt w:val="bullet"/>
      <w:lvlText w:val="•"/>
      <w:lvlJc w:val="left"/>
      <w:pPr>
        <w:ind w:left="890" w:hanging="263"/>
      </w:pPr>
      <w:rPr>
        <w:rFonts w:hint="default"/>
      </w:rPr>
    </w:lvl>
    <w:lvl w:ilvl="2" w:tplc="3DE2913C">
      <w:numFmt w:val="bullet"/>
      <w:lvlText w:val="•"/>
      <w:lvlJc w:val="left"/>
      <w:pPr>
        <w:ind w:left="1400" w:hanging="263"/>
      </w:pPr>
      <w:rPr>
        <w:rFonts w:hint="default"/>
      </w:rPr>
    </w:lvl>
    <w:lvl w:ilvl="3" w:tplc="21DEB8A0">
      <w:numFmt w:val="bullet"/>
      <w:lvlText w:val="•"/>
      <w:lvlJc w:val="left"/>
      <w:pPr>
        <w:ind w:left="1911" w:hanging="263"/>
      </w:pPr>
      <w:rPr>
        <w:rFonts w:hint="default"/>
      </w:rPr>
    </w:lvl>
    <w:lvl w:ilvl="4" w:tplc="4D60C33C">
      <w:numFmt w:val="bullet"/>
      <w:lvlText w:val="•"/>
      <w:lvlJc w:val="left"/>
      <w:pPr>
        <w:ind w:left="2421" w:hanging="263"/>
      </w:pPr>
      <w:rPr>
        <w:rFonts w:hint="default"/>
      </w:rPr>
    </w:lvl>
    <w:lvl w:ilvl="5" w:tplc="854427C8">
      <w:numFmt w:val="bullet"/>
      <w:lvlText w:val="•"/>
      <w:lvlJc w:val="left"/>
      <w:pPr>
        <w:ind w:left="2932" w:hanging="263"/>
      </w:pPr>
      <w:rPr>
        <w:rFonts w:hint="default"/>
      </w:rPr>
    </w:lvl>
    <w:lvl w:ilvl="6" w:tplc="7C9A9A2C">
      <w:numFmt w:val="bullet"/>
      <w:lvlText w:val="•"/>
      <w:lvlJc w:val="left"/>
      <w:pPr>
        <w:ind w:left="3442" w:hanging="263"/>
      </w:pPr>
      <w:rPr>
        <w:rFonts w:hint="default"/>
      </w:rPr>
    </w:lvl>
    <w:lvl w:ilvl="7" w:tplc="3466A1D8">
      <w:numFmt w:val="bullet"/>
      <w:lvlText w:val="•"/>
      <w:lvlJc w:val="left"/>
      <w:pPr>
        <w:ind w:left="3952" w:hanging="263"/>
      </w:pPr>
      <w:rPr>
        <w:rFonts w:hint="default"/>
      </w:rPr>
    </w:lvl>
    <w:lvl w:ilvl="8" w:tplc="47FC24B8">
      <w:numFmt w:val="bullet"/>
      <w:lvlText w:val="•"/>
      <w:lvlJc w:val="left"/>
      <w:pPr>
        <w:ind w:left="4463" w:hanging="263"/>
      </w:pPr>
      <w:rPr>
        <w:rFonts w:hint="default"/>
      </w:rPr>
    </w:lvl>
  </w:abstractNum>
  <w:abstractNum w:abstractNumId="2" w15:restartNumberingAfterBreak="0">
    <w:nsid w:val="76E0338E"/>
    <w:multiLevelType w:val="multilevel"/>
    <w:tmpl w:val="69787F66"/>
    <w:lvl w:ilvl="0">
      <w:start w:val="1"/>
      <w:numFmt w:val="decimal"/>
      <w:lvlText w:val="%1."/>
      <w:lvlJc w:val="left"/>
      <w:pPr>
        <w:ind w:left="933" w:hanging="360"/>
        <w:jc w:val="right"/>
      </w:pPr>
      <w:rPr>
        <w:rFonts w:ascii="Calibri" w:eastAsia="Calibri" w:hAnsi="Calibri" w:cs="Calibri" w:hint="default"/>
        <w:b/>
        <w:bCs/>
        <w:color w:val="2E74B5"/>
        <w:spacing w:val="0"/>
        <w:w w:val="102"/>
        <w:sz w:val="21"/>
        <w:szCs w:val="21"/>
      </w:rPr>
    </w:lvl>
    <w:lvl w:ilvl="1">
      <w:start w:val="1"/>
      <w:numFmt w:val="decimal"/>
      <w:lvlText w:val="%1.%2"/>
      <w:lvlJc w:val="left"/>
      <w:pPr>
        <w:ind w:left="1249" w:hanging="329"/>
        <w:jc w:val="left"/>
      </w:pPr>
      <w:rPr>
        <w:rFonts w:ascii="Calibri" w:eastAsia="Calibri" w:hAnsi="Calibri" w:cs="Calibri" w:hint="default"/>
        <w:spacing w:val="0"/>
        <w:w w:val="102"/>
        <w:sz w:val="21"/>
        <w:szCs w:val="21"/>
      </w:rPr>
    </w:lvl>
    <w:lvl w:ilvl="2">
      <w:start w:val="1"/>
      <w:numFmt w:val="decimal"/>
      <w:lvlText w:val="%1.%2.%3"/>
      <w:lvlJc w:val="left"/>
      <w:pPr>
        <w:ind w:left="2125" w:hanging="496"/>
        <w:jc w:val="left"/>
      </w:pPr>
      <w:rPr>
        <w:rFonts w:ascii="Calibri" w:eastAsia="Calibri" w:hAnsi="Calibri" w:cs="Calibri" w:hint="default"/>
        <w:spacing w:val="0"/>
        <w:w w:val="102"/>
        <w:sz w:val="21"/>
        <w:szCs w:val="21"/>
      </w:rPr>
    </w:lvl>
    <w:lvl w:ilvl="3">
      <w:numFmt w:val="bullet"/>
      <w:lvlText w:val="•"/>
      <w:lvlJc w:val="left"/>
      <w:pPr>
        <w:ind w:left="2120" w:hanging="496"/>
      </w:pPr>
      <w:rPr>
        <w:rFonts w:hint="default"/>
      </w:rPr>
    </w:lvl>
    <w:lvl w:ilvl="4">
      <w:numFmt w:val="bullet"/>
      <w:lvlText w:val="•"/>
      <w:lvlJc w:val="left"/>
      <w:pPr>
        <w:ind w:left="3208" w:hanging="496"/>
      </w:pPr>
      <w:rPr>
        <w:rFonts w:hint="default"/>
      </w:rPr>
    </w:lvl>
    <w:lvl w:ilvl="5">
      <w:numFmt w:val="bullet"/>
      <w:lvlText w:val="•"/>
      <w:lvlJc w:val="left"/>
      <w:pPr>
        <w:ind w:left="4297" w:hanging="496"/>
      </w:pPr>
      <w:rPr>
        <w:rFonts w:hint="default"/>
      </w:rPr>
    </w:lvl>
    <w:lvl w:ilvl="6">
      <w:numFmt w:val="bullet"/>
      <w:lvlText w:val="•"/>
      <w:lvlJc w:val="left"/>
      <w:pPr>
        <w:ind w:left="5385" w:hanging="496"/>
      </w:pPr>
      <w:rPr>
        <w:rFonts w:hint="default"/>
      </w:rPr>
    </w:lvl>
    <w:lvl w:ilvl="7">
      <w:numFmt w:val="bullet"/>
      <w:lvlText w:val="•"/>
      <w:lvlJc w:val="left"/>
      <w:pPr>
        <w:ind w:left="6474" w:hanging="496"/>
      </w:pPr>
      <w:rPr>
        <w:rFonts w:hint="default"/>
      </w:rPr>
    </w:lvl>
    <w:lvl w:ilvl="8">
      <w:numFmt w:val="bullet"/>
      <w:lvlText w:val="•"/>
      <w:lvlJc w:val="left"/>
      <w:pPr>
        <w:ind w:left="7562" w:hanging="496"/>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dirty"/>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rsids>
    <w:rsidRoot w:val="00583ADF"/>
    <w:rsid w:val="00583ADF"/>
    <w:rsid w:val="00741A82"/>
    <w:rsid w:val="009D78C3"/>
  </w:rsids>
  <m:mathPr>
    <m:mathFont m:val="Cambria Math"/>
    <m:brkBin m:val="before"/>
    <m:brkBinSub m:val="--"/>
    <m:smallFrac m:val="0"/>
    <m:dispDef/>
    <m:lMargin m:val="0"/>
    <m:rMargin m:val="0"/>
    <m:defJc m:val="centerGroup"/>
    <m:wrapIndent m:val="1440"/>
    <m:intLim m:val="subSup"/>
    <m:naryLim m:val="undOvr"/>
  </m:mathPr>
  <w:themeFontLang w:val="nl-BE" w:bidi="ar-SA"/>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28A91C71"/>
  <w15:docId w15:val="{78742C1D-2D83-47FC-81FA-00884E7D3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Titre1">
    <w:name w:val="heading 1"/>
    <w:basedOn w:val="Normal"/>
    <w:uiPriority w:val="9"/>
    <w:qFormat/>
    <w:pPr>
      <w:spacing w:before="101"/>
      <w:ind w:left="213"/>
      <w:outlineLvl w:val="0"/>
    </w:pPr>
    <w:rPr>
      <w:sz w:val="24"/>
      <w:szCs w:val="24"/>
    </w:rPr>
  </w:style>
  <w:style w:type="paragraph" w:styleId="Titre2">
    <w:name w:val="heading 2"/>
    <w:basedOn w:val="Normal"/>
    <w:uiPriority w:val="9"/>
    <w:unhideWhenUsed/>
    <w:qFormat/>
    <w:pPr>
      <w:ind w:left="433" w:hanging="221"/>
      <w:outlineLvl w:val="1"/>
    </w:pPr>
    <w:rPr>
      <w:b/>
      <w:b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1"/>
      <w:szCs w:val="21"/>
    </w:rPr>
  </w:style>
  <w:style w:type="paragraph" w:styleId="Titre">
    <w:name w:val="Title"/>
    <w:basedOn w:val="Normal"/>
    <w:uiPriority w:val="10"/>
    <w:qFormat/>
    <w:pPr>
      <w:spacing w:before="1"/>
      <w:ind w:left="213"/>
    </w:pPr>
    <w:rPr>
      <w:sz w:val="52"/>
      <w:szCs w:val="52"/>
    </w:rPr>
  </w:style>
  <w:style w:type="paragraph" w:styleId="Paragraphedeliste">
    <w:name w:val="List Paragraph"/>
    <w:basedOn w:val="Normal"/>
    <w:uiPriority w:val="1"/>
    <w:qFormat/>
    <w:pPr>
      <w:ind w:left="1250" w:hanging="330"/>
    </w:pPr>
  </w:style>
  <w:style w:type="paragraph" w:customStyle="1" w:styleId="TableParagraph">
    <w:name w:val="Table Paragraph"/>
    <w:basedOn w:val="Normal"/>
    <w:uiPriority w:val="1"/>
    <w:qFormat/>
    <w:pPr>
      <w:spacing w:before="207"/>
      <w:ind w:left="11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&#65279;<?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goo.gl/p1lxH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goo.gl/Lx2TQxk." TargetMode="Externa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1544</Words>
  <Characters>8497</Characters>
  <Application>Microsoft Office Word</Application>
  <DocSecurity>0</DocSecurity>
  <Lines>70</Lines>
  <Paragraphs>20</Paragraphs>
  <ScaleCrop>false</ScaleCrop>
  <Company/>
  <LinksUpToDate>false</LinksUpToDate>
  <CharactersWithSpaces>10021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Caroline Debauche</cp:lastModifiedBy>
  <cp:revision>2</cp:revision>
  <dcterms:created xsi:type="dcterms:W3CDTF">2020-12-03T11:46:00Z</dcterms:created>
  <dcterms:modified xsi:type="dcterms:W3CDTF">2020-12-03T11:46:00Z</dcterms:modified>
</cp:coreProperties>
</file>